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ATAS/1227/2018 vom 22. Juni 2017</w:t>
      </w:r>
    </w:p>
    <w:p>
      <w:r>
        <w:t>GE Cour de justice, 2017-06-22, FR</w:t>
      </w:r>
    </w:p>
    <w:p>
      <w:r>
        <w:rPr>
          <w:b/>
        </w:rPr>
        <w:t xml:space="preserve">Quelle: </w:t>
      </w:r>
      <w:r>
        <w:t>https://mcp.opencaselaw.ch/entscheid/ge_gerichte_ATAS_1227_2018</w:t>
      </w:r>
    </w:p>
    <w:p>
      <w:r>
        <w:t>FR: GE_GERICHTE ATAS/1227/2018 du 22 juin 2017</w:t>
      </w:r>
    </w:p>
    <w:p>
      <w:r>
        <w:t>IT: GE_GERICHTE ATAS/1227/2018 del 22 giugno 2017</w:t>
      </w:r>
    </w:p>
    <w:p>
      <w:pPr>
        <w:pStyle w:val="Heading2"/>
      </w:pPr>
      <w:r>
        <w:t>Erwägungen</w:t>
      </w:r>
    </w:p>
    <w:p>
      <w:r>
        <w:rPr>
          <w:b/>
        </w:rPr>
        <w:t>E. 4</w:t>
      </w:r>
    </w:p>
    <w:p>
      <w:r>
        <w:t>septembre 2018 (9C_416/2018) fondée sur ce motif et sur ladite attestation ; Qu'au vu de l'étroite connexité entre les procédures pendantes devant le Tribunal fédéral et la chambre de céans, il se justifie de suspendre l'instruction du présent recours jusqu'à droit jugé par le Tribunal Fédéral.</w:t>
      </w:r>
    </w:p>
    <w:p>
      <w:r>
        <w:t>A/730/2017 - 4/4 -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