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ATAS/1227/2014 vom 1. Dezember 2014</w:t>
      </w:r>
    </w:p>
    <w:p>
      <w:r>
        <w:t>GE Cour de justice, 2014-12-01, FR</w:t>
      </w:r>
    </w:p>
    <w:p>
      <w:r>
        <w:rPr>
          <w:b/>
        </w:rPr>
        <w:t xml:space="preserve">Quelle: </w:t>
      </w:r>
      <w:r>
        <w:t>https://mcp.opencaselaw.ch/entscheid/ge_gerichte_ATAS_1227_2014</w:t>
      </w:r>
    </w:p>
    <w:p>
      <w:r>
        <w:t>FR: GE_GERICHTE ATAS/1227/2014 du 1 décembre 2014</w:t>
      </w:r>
    </w:p>
    <w:p>
      <w:r>
        <w:t>IT: GE_GERICHTE ATAS/1227/2014 del 1 dicembre 2014</w:t>
      </w:r>
    </w:p>
    <w:p>
      <w:pPr>
        <w:pStyle w:val="Heading2"/>
      </w:pPr>
      <w:r>
        <w:t>Regeste</w:t>
      </w:r>
    </w:p>
    <w:p>
      <w:r>
        <w:t>Résumé: Lorsque l'invalidité est déterminée selon la méthode mixte d'évaluation, il est possible à certaines conditions particulières de se prévaloir de ce que les efforts consentis en exerçant une activité lucrative ont des effets du point de vue de l'atteinte à la santé sur l'accomplissement des travaux ménagers et éducatifs. La mesure de ce qu'il y a lieu de considérer comme des effets dommageables ne saurait dépasser, en tout état de cause, 15% (ATF137 V 334; ATF134 V 9). Pour pouvoir se prévaloir de ce motif, il faut notamment que l'assurée exploite pleinement et concrètement sa capacité résiduelle de travail après la survenance de l'invalidité (ATF134 V 9consid. 7.3.1 et 7.3.3). Lorsque, comme dans le cas d'espèce, l'assurée n'a pas concrètement repris l'exercice d'une activité lucrative, il n'y a pas place pour tenir compte d'un abattement supplémentaire sur sa capacité à accomplir ses travaux habituels.</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16 juin 2009, à la suite d’une incapacité de travail survenue le 9 mars 2009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eu égard au principe précité.</w:t>
      </w:r>
    </w:p>
    <w:p>
      <w:r>
        <w:rPr>
          <w:b/>
        </w:rPr>
        <w:t>E. 2.1</w:t>
      </w:r>
    </w:p>
    <w:p>
      <w:r>
        <w:t>p. 429; 125 I 127 consid. 6c/cc in fine p. 135). Dans la mesure où il porte sur le résultat de cette appréciation anticipée des preuves, le grief de violation du droit d'être entendu se confond avec celui de constatation inexacte (y compris arbitraire) ou incomplète des faits pertinents, que la recourante soulève également en soutenant qu'elle n'est pas en mesure d'exercer simultanément une activité professionnelle et ménagère, ce que la juridiction cantonale aurait manqué de constater en omettant de compléter au préalable l'instruction médicale sur ce point. Il sera examiné avec le fond du litige. (ATF 9C_382/2010 du 24 novembre 2010).</w:t>
      </w:r>
    </w:p>
    <w:p>
      <w:r>
        <w:rPr>
          <w:b/>
        </w:rPr>
        <w:t>E. 3</w:t>
      </w:r>
    </w:p>
    <w:p>
      <w:r>
        <w:t>Le délai de recours est de 30 jours (art. 60 al. 1 LPGA). Interjeté dans la forme et le délai prévus par la loi, le recours est recevable, en vertu des art. 56ss LPGA.</w:t>
      </w:r>
    </w:p>
    <w:p>
      <w:r>
        <w:t>A/2964/2013 - 10/25 -</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A/2964/2013 - 11/25 -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A/2964/2013 - 12/25 -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A/2964/2013 - 13/25 -</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w:t>
      </w:r>
    </w:p>
    <w:p>
      <w:r>
        <w:t>A/2964/2013 - 14/25 -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t>A/2964/2013 - 15/25 -</w:t>
      </w:r>
    </w:p>
    <w:p>
      <w:r>
        <w:rPr>
          <w:b/>
        </w:rPr>
        <w:t>E. 10</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dont la validité a été récemment confirmée par le Tribunal fédéral (ATF 137 V 334 consid. 5),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w:t>
      </w:r>
    </w:p>
    <w:p>
      <w:r>
        <w:t>A/2964/2013 - 16/25 -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d)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w:t>
      </w:r>
    </w:p>
    <w:p>
      <w:r>
        <w:t>A/2964/2013 - 17/25 - f)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g) Pour satisfaire à l'obligation de réduire le dommage (voir ATF 129 V 463 consid.</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A/2964/2013 - 18/25 -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w:t>
      </w:r>
    </w:p>
    <w:p>
      <w:r>
        <w:t>A/2964/2013 - 19/25 -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w:t>
      </w:r>
    </w:p>
    <w:p>
      <w:r>
        <w:t>A/2964/2013 - 20/25 - subjectives (ATF non publié 9C_1066/2009 du 22 septembre 2010 consid. 4.1 et la référence).</w:t>
      </w:r>
    </w:p>
    <w:p>
      <w:r>
        <w:t>d) A certaines conditions particulières, il est possible de prendre en considération l'incapacité d'exercer une activité lucrative ou d'accomplir les travaux habituels résultants des efforts consentis dans l'autre domaine d'activité. La mesure de ce qu'il y a lieu de considérer comme des effets dommageables doit toujours être examinée à la lumière des circonstances concrètes du cas particulier, mais ne saurait dépasser, en tout état de cause, 15% (ATF 134 V 9; voir également arrêt du Tribunal fédéral des assurances I 156/04 du 13 décembre 2005 consid. 6.2, in SVR 2006 IV n° 42 p. 151, et arrêt 9C_713/2007 du 8 août 2008 consid. 4; ATF 137 V 334).</w:t>
      </w:r>
    </w:p>
    <w:p>
      <w:r>
        <w:t>Toutefois, l'incapacité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du point de vue de l'atteinte à la santé sur l'accomplissement des travaux ménagers et éducatifs, que l'assurée exploite pleinement et concrètement sa capacité résiduelle de travail après la survenance de l'invalidité. L'éventualité que les deux domaines d'activités puissent s'influencer réciproquement apparaîtra par ailleurs d'autant plus faible que leurs profils d'exigences seront complémentaires (ATF 134 V 9 consid. 7.3.1 p. 12 et 7.3.3 p. 13; arrêt 9C_713/2007 du 8 août 2008 consid. 4.2; ATF 9C_382/2010 du 24 novembre 2010).</w:t>
      </w:r>
    </w:p>
    <w:p>
      <w:r>
        <w:t>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9C_713/2007 du 8 août 2008).</w:t>
      </w:r>
    </w:p>
    <w:p>
      <w:r>
        <w:t>Dans les arrêts précités, le Tribunal fédéral a jugé que l'assurée qui avait cessé de travailler comme maîtresse de classe enfantine en 2002 et n'avait plus exercé sa profession pour laquelle une capacité de travail de 50% lui avait été reconnue, ne pouvait se prévaloir d'une prise en considération d'une diminution supplémentaire de sa capacité de travail dans la tenue du ménage en relation avec des efforts consentis dans l'exercice d'une activité professionnelle (ATF du 24 novembre 2010), ou encore que, dans la mesure où l'assurée n'avait pas repris concrètement d'activité lucrative après la naissance de ses enfants, il n'y avait pas de place pour procéder à un abattement supplémentaire sur la capacité de la recourante à accomplir ses travaux habituels. (ATF du 8 août 2010).</w:t>
      </w:r>
    </w:p>
    <w:p>
      <w:r>
        <w:t>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w:t>
      </w:r>
    </w:p>
    <w:p>
      <w:r>
        <w:t>A/2964/2013 - 21/25 - d’invalidité se confondant avec celui de l’incapacité de travail, sous réserve d’une éventuelle réduction du salaire statistique (ATFA non publiés I 43/05 du 30 juin 2006, consid. 5.2 et I 1/03 du 15 avril 2003, consid. 5.2).</w:t>
      </w:r>
    </w:p>
    <w:p>
      <w:r>
        <w:t>f)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Le droit d'être entendu garanti par l'art. 29 al. 2 Cst. comprend celui pour les parties de produire des preuves quant aux faits de nature à influer la décision et d'obtenir qu'il soit donné suite aux offres de preuves pertinentes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w:t>
      </w:r>
    </w:p>
    <w:p>
      <w:r>
        <w:rPr>
          <w:b/>
        </w:rPr>
        <w:t>E. 13</w:t>
      </w:r>
    </w:p>
    <w:p>
      <w:r>
        <w:t>a) En l'espèce, le rapport d'expertise conjoint des Drs F______ et L_____ remplit les critères jurisprudentiels précités pour qu'il lui soit reconnu une pleine valeur probante, ce que les parties admettent, sous réserve, pour la recourante de la baisse de rendement arrêtée à 30% et de l'appréciation de la capacité ménagère, laquelle serait succincte et lacunaire. b) S'agissant de la capacité de la recourante d'effectuer les tâches ménagères, il convient de constater que les experts ont correctement répondu à la question de la mission d'expertise, selon laquelle il convenait de dire si la recourante présentait des limitations dans l'exécution des tâches ménagères et s'ils étaient d'accord avec les limitations fonctionnelles prises en compte dans l'enquête ménagère du 13 mai 2013.</w:t>
      </w:r>
    </w:p>
    <w:p>
      <w:r>
        <w:t>A cet égard, le rapport d'expertise mentionne que la recourante vit avec sa mère qui souffre de troubles de la mémoire et de douleurs articulaires, qu'à la maison, elle se charge, en prenant son temps, de faire les repas, la vaisselle et la lessive, qu'elle se déplace avec un siège à roulettes ou avec une canne, qu'elle fait ses commissions soit en France voisine, conduite par une amie, soit à la Coop du quartier, seule lorsqu'il y a peu de monde (rapport p. 5 et 10), que la conclusion de l'enquête ménagère est raisonnable, avec un taux d'incapacité calculé à 22,5%, que,</w:t>
      </w:r>
    </w:p>
    <w:p>
      <w:r>
        <w:t>A/2964/2013 - 22/25 - cependant, une partie des tâches ménagères est effectuée par l'IMAD, intervenant pour la mère de la recourante (rapport p. 22), qu'enfin, l'enquête ménagère semble correcte, en tenant compte du fait que la recourante bénéficie des aides ménagères de sa mère, avec qui elle vit (rapport p. 24) et qu'une aide-ménagère est nécessaire pour les travaux domestiques lourds (rapport p. 25).</w:t>
      </w:r>
    </w:p>
    <w:p>
      <w:r>
        <w:t>Il apparaît ainsi, selon le rapport d'expertise, que la recourante ne peut exécuter les travaux domestiques lourds, mais qu'elle prend concrètement en charge, en prenant son temps, les courses, la lessive et la vaisselle et que l'évaluation de l'enquête économique aboutissant à un empêchement de 22,5% est raisonnable et correcte, si l'on considère que la recourante bénéficie des aide-ménagères de sa mère.</w:t>
      </w:r>
    </w:p>
    <w:p>
      <w:r>
        <w:t>Cette appréciation répond à la question de la mission d'expertise et il n'y a pas lieu d'ordonner un complément d'expertise sur ce point, ni d'entendre les experts, comme le requiert la recourante. L'enquête ménagère a retenu un empêchement de 20% pour les travaux d'alimentation, de 80% pour ceux d'entretien du logement, de 20% pour les emplettes et courses diverses, de 10% pour la lessive et de 10% pour les travaux divers. Il est mentionné que l'IMAD intervient pour faire le ménage de l'appartement une fois par semaine, pour les travaux plus à fond, pour nettoyer les vitres et les rideaux deux fois par année et pour faire les courses pour la mère de la recourante.</w:t>
      </w:r>
    </w:p>
    <w:p>
      <w:r>
        <w:t>Les experts ont considéré que l'empêchement de 22,5% était correct, dès lors qu'il tenait compte de l'aide de l'IMAD.</w:t>
      </w:r>
    </w:p>
    <w:p>
      <w:r>
        <w:t>A cet égard, rien ne s'oppose à ce que l'aide de l'IMAD dont bénéficie la recourante en raison de sa cohabitation avec sa mère soit considérée comme aide de proches, de la même manière que l'on tiendra compte de l'aide du conjoint/e ou des enfants, en cas de cohabitation familiale. Ainsi, l'aide de l'IMAD prodiguée pour la mère de la recourante peut-elle être considérée comme de l'aide que la mère apporte à sa fille.</w:t>
      </w:r>
    </w:p>
    <w:p>
      <w:r>
        <w:t>Par ailleurs, l'enquête a tenu compte de l'aide de l'IMAD comme aide de tiers pour les travaux d'alimentation et d'entretien du logement. Elle a néanmoins retenu un empêchement de respectivement 20% et 80% de la recourante. Cette appréciation n'est ainsi pas critiquable et a été confirmée par le rapport d'expertise. c) La recourante requiert une augmentation de l'empêchement ménager de 15%, au motif que sa capacité à effectuer les tâches ménagères serait diminuée du fait de l'exercice d'une activité lucrative.</w:t>
      </w:r>
    </w:p>
    <w:p>
      <w:r>
        <w:t>Selon la jurisprudence du Tribunal fédéral précitée (consid. 11 d) supra), cette répercussion d'un domaine d'activité sur l'autre ne peut être prise en considération que si l'assurée exerce concrètement une activité lucrative; dans le cas contraire, il n'y a pas de place pour procéder à un abattement supplémentaire sur le taux de capacité de l'assurée à accomplir ses travaux habituels.</w:t>
      </w:r>
    </w:p>
    <w:p>
      <w:r>
        <w:t>A/2964/2013 - 23/25 -</w:t>
      </w:r>
    </w:p>
    <w:p>
      <w:r>
        <w:t>En l'espèce, la recourante n'ayant pas concrètement repris l'exercice d'une activité lucrative, un abattement de 15%, tel qu'elle le réclame, sur sa capacité à accomplir ses travaux habituels, ne peut être pris en compte.</w:t>
      </w:r>
    </w:p>
    <w:p>
      <w:r>
        <w:t>Pour cette raison également, l'audition des experts sur ce point n'est pas nécessaire.</w:t>
      </w:r>
    </w:p>
    <w:p>
      <w:r>
        <w:t>d) S'agissant enfin de la diminution de rendement de 30%, admise par les experts, la recourante estime qu'elle est en réalité de 50%, en se fondant sur le rapport des EPI du 16 novembre 2011.</w:t>
      </w:r>
    </w:p>
    <w:p>
      <w:r>
        <w:t>Ce rapport a conclu à une capacité de travail de la recourante dans un emploi en position assise à 50%, avec un rendement de 50 à 70%, étant précisé que lors du stage en entreprise du 3 au 14 octobre 2011, les rendements étaient dans la norme (rapport EPI du 16 novembre 2011 p. 11).</w:t>
      </w:r>
    </w:p>
    <w:p>
      <w:r>
        <w:t>La diminution de rendement de 30% admise par les experts n'est ainsi pas en contradiction avec le rapport des EPI.</w:t>
      </w:r>
    </w:p>
    <w:p>
      <w:r>
        <w:t>La recourante n'explique pas pour quel motif les experts auraient dû se fonder sur la limite inférieure de rendement de 50% citée par les EPI, plutôt que celle, supérieure de 70%, ce d'autant que le stage en entreprise, certes d'une très courte durée, a néanmoins montré un rendement total sur un taux de travail de 50% dans un poste adapté aux limitations fonctionnelles de la recourante.</w:t>
      </w:r>
    </w:p>
    <w:p>
      <w:r>
        <w:rPr>
          <w:b/>
        </w:rPr>
        <w:t>E. 14</w:t>
      </w:r>
    </w:p>
    <w:p>
      <w:r>
        <w:t>a) Au vu de ce qui précède, la chambre de céans retiendra les conclusions du rapport d'expertise judiciaire et de l'enquête ménagère du 13 mai 2013, lesquels concluent à une capacité de travail de la recourante dans la sphère lucrative de 35%, depuis le 1er février 2010 et un empêchement dans la sphère ménagère de 22,5%. Les experts s'étant référé à l'avis du SMR du 13 décembre 2010, il y a lieu d'admettre que la recourante est par ailleurs considérée comme totalement incapable de travailler du 1er mars 2009 au 30 janvier 2010. b) La recourante a présenté une incapacité de travail totale du 1er mars 2009 au 30 janvier 2010, puis une capacité de travail de 35% dès le 1er février 2010, ainsi que, durant toute la période, un empêchement ménager de 22,5%.</w:t>
      </w:r>
    </w:p>
    <w:p>
      <w:r>
        <w:t>A l'issue du délai d'attente, le 1er mars 2010, la recourante a ainsi présenté, en moyenne, une incapacité de travail d'au moins 40% (art. 28 et 29 LAI). Dès le 1er mars 2010, le calcul du degré d'invalidité se présente comme suit :</w:t>
      </w:r>
    </w:p>
    <w:p>
      <w:r>
        <w:t>Le revenu avant invalidité de CHF 40'747.- n'est pas contesté. Le revenu d'invalide a été calculé par l'OAI en se basant sur l'ESS 2010, tableau TA1, ligne 49-96, secteur service, femme, niveau 4. L'intimé a retenu un salaire annuel brut de CHF 52'491.-, correspondant au salaire annuel de CHF 50'472.- adapté à l'horaire usuel de travail dans les entreprises en 2010, soit 41,6 heures. Pour un taux d'activité de 35% et un abattement supplémentaire de 20%, le revenu d'invalide est de CHF 14'697.50. Comparé au revenu sans invalidité, il en résulte un empêchement de 63,92%, soit 64%. Le degré d'invalidité global est ainsi de :</w:t>
      </w:r>
    </w:p>
    <w:p>
      <w:r>
        <w:t>A/2964/2013 - 24/25 -</w:t>
      </w:r>
    </w:p>
    <w:p>
      <w:r>
        <w:t>Taux d'activité Empêchement Degré d'invalidité Sphère lucrative : 50% 64% 32% Sphère ménagère : 50% 22,5% 11,25%</w:t>
      </w:r>
    </w:p>
    <w:p>
      <w:r>
        <w:t>43.25% soit 43%. La recourante estime encore qu'une déduction globale de 25% au lieu de celle de 20% appliquée par l'intimé doit être retenue. A cet égard, cette question peut rester ouverte, car même si une déduction de 25% était appliquée sur le revenu d'invalide, celui-ci serait de CHF 13'778.90, l'empêchement dans la sphère lucrative de 66,18% et le degré d'invalidité dans la sphère lucrative de 33,09%, de sorte que le degré d'invalidité total serait de 44,34%. soit 44%, insuffisant pour ouvrir le droit à une demi-rente d'invalidité.</w:t>
      </w:r>
    </w:p>
    <w:p>
      <w:r>
        <w:rPr>
          <w:b/>
        </w:rPr>
        <w:t>E. 15</w:t>
      </w:r>
    </w:p>
    <w:p>
      <w:r>
        <w:t>La rente octroyée (rente entière, trois quarts de rente, demi-rente ou quart de rente) est déterminée en fonction du taux de l'incapacité de travail existant pendant le délai d'attente et de l'incapacité de gain résiduelle une fois ce délai écoulé (Pratique VSI1 996, p. 188; CIIAI 4001). A l'issue du délai d'attente, le 1er mars 2010, la recourante a droit à un quart de rente d'invalidité.</w:t>
      </w:r>
    </w:p>
    <w:p>
      <w:r>
        <w:rPr>
          <w:b/>
        </w:rPr>
        <w:t>E. 16</w:t>
      </w:r>
    </w:p>
    <w:p>
      <w:r>
        <w:t>Au vu de ce qui précède, le recours sera partiellement admis et la décision litigieuse annulée. Il sera dit que la recourante a droit à un quart de rente d'invalidité depuis le 1er mars 2010. Vu l'issue du litige, une indemnité de CHF 3'000.- sera allouée à la recourante, à charge de l'intimé (art. 61 let. g LPGA). Etant donné que, depuis le 1er juillet 2006, la procédure n'est plus gratuite (art. 69 al. 1bis LAI), au vu du sort du recours, il y a lieu de condamner l'intimé au paiement d'un émolument de CHF 200.-.</w:t>
      </w:r>
    </w:p>
    <w:p>
      <w:r>
        <w:t>A/2964/2013 - 25/25 -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