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ATAS/1227/2013 vom 9. Dezember 2013</w:t>
      </w:r>
    </w:p>
    <w:p>
      <w:r>
        <w:t>GE Cour de justice, 2013-12-09, FR</w:t>
      </w:r>
    </w:p>
    <w:p>
      <w:r>
        <w:rPr>
          <w:b/>
        </w:rPr>
        <w:t xml:space="preserve">Quelle: </w:t>
      </w:r>
      <w:r>
        <w:t>https://mcp.opencaselaw.ch/entscheid/ge_gerichte_ATAS_1227_2013</w:t>
      </w:r>
    </w:p>
    <w:p>
      <w:r>
        <w:t>FR: GE_GERICHTE ATAS/1227/2013 du 9 décembre 2013</w:t>
      </w:r>
    </w:p>
    <w:p>
      <w:r>
        <w:t>IT: GE_GERICHTE ATAS/1227/2013 del 9 dicembre 2013</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L’objet du litige porte sur la demande de mainlevée de l’opposition au commandement de payer poursuite n° ___________.</w:t>
      </w:r>
    </w:p>
    <w:p>
      <w:r>
        <w:rPr>
          <w:b/>
        </w:rPr>
        <w:t>E. 3</w:t>
      </w:r>
    </w:p>
    <w:p>
      <w:r>
        <w:t>Selon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w:t>
      </w:r>
    </w:p>
    <w:p>
      <w:r>
        <w:rPr>
          <w:b/>
        </w:rPr>
        <w:t>E. 4</w:t>
      </w:r>
    </w:p>
    <w:p>
      <w:r>
        <w:t>Selon l'art. 10 du contrat d’adhésion, l'employeur s'engage à payer la totalité des contributions ordinaires qui lui sont facturées par la demanderesse. A savoir, en particulier : les contributions visant à alimenter les avoirs de vieillesse ainsi que celles destinées à l'assurance de risque; les frais d'exécution ordinaires; les frais</w:t>
      </w:r>
    </w:p>
    <w:p>
      <w:r>
        <w:t>A/1813/2013 - 4/6 - accessoires LPP; les contributions supplémentaires destinées à financer le taux de conversion LPP (risque de longévité); d'éventuelles contributions d'assainissement. Les contributions sont toujours exigibles au début de l'année d'assurance (1er janvier). Lors de mutations intervenant en cours d'année (p. ex. nouvelles entrées en service), les contributions sont échues à la date d'entrée en vigueur correspondante. L'employeur est débiteur envers la demanderesse de la totalité des contributions facturées par celle-ci il s'engage à payer les contributions dans les délais et à régler le compte au prorata jusqu'au 30 juin et 31 décembre de l'année en question, dans la mesure où celui-ci présente un solde en faveur de la demanderesse. Selon l'art. 12 du contrat d’adhésion, l'employeur est mis en demeure pour tous les arriérés de contributions et créances selon les chiffres 10 et 11 du présent contrat. Si la sommation reste sans effet, la demanderesse se réserve le droit de recourir à la voie judiciaire pour l'encaissement des arriérés de contributions et créances, intérêts et frais compris, et de résilier immédiatement le contrat sans observer un délai de résiliation. La demanderesse communique à l'autorité compétente que l'employeur est en retard dans ses paiements. En outre, elle se réserve le droit d'en informer les membres du comité de caisse et les personnes assurées. Les frais de sommation et, le cas échéant, d'autres démarches d'encaissement sont régis par le règlement sur les coûts.</w:t>
      </w:r>
    </w:p>
    <w:p>
      <w:r>
        <w:rPr>
          <w:b/>
        </w:rPr>
        <w:t>E. 5</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La Chambre des assurances sociales statuant en dernière instance cantonale et dans l'accomplissement de tâches de droit public peut, selon ce qui précède, prononcer la mainlevée définitive d'une opposition à un commandement de payer puisque,</w:t>
      </w:r>
    </w:p>
    <w:p>
      <w:r>
        <w:t>A/1813/2013 - 5/6 -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6</w:t>
      </w:r>
    </w:p>
    <w:p>
      <w:r>
        <w:t>En l’espèce, la défenderesse ne conteste pas devoir le montant qui lui a été réclamé par poursuite n° 12187428 V correspondant aux cotisations dues selon le contrat d’adhésion la liant à la demanderesse, cotisations demeurées impayées, ainsi que les intérêts et frais. Elle ne s’est pas non plus opposée à la requête en mainlevée de l’opposition déposée par la demanderesse, laquelle porte sur la totalité du montant figurant dans la poursuite en cause.</w:t>
      </w:r>
    </w:p>
    <w:p>
      <w:r>
        <w:rPr>
          <w:b/>
        </w:rPr>
        <w:t>E. 7</w:t>
      </w:r>
    </w:p>
    <w:p>
      <w:r>
        <w:t>Partant, la Cour de céans admettra la demande et condamnera la défenderesse au paiement de 24'528 fr. 55 avec intérêts à 5 % dès le 9 juillet 2010 et prononcera la mainlevée définitive de l’opposition faite au commande de payer poursuite n° ___________.</w:t>
      </w:r>
    </w:p>
    <w:p>
      <w:r>
        <w:rPr>
          <w:b/>
        </w:rPr>
        <w:t>E. 8</w:t>
      </w:r>
    </w:p>
    <w:p>
      <w:r>
        <w:t>Pour le surplus, la procédure est gratuite (art. 73 al. 2 LPP).</w:t>
      </w:r>
    </w:p>
    <w:p>
      <w:r>
        <w:t>A/1813/2013 - 6/6 -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