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ATAS/1226/2014 vom 28. November 2014</w:t>
      </w:r>
    </w:p>
    <w:p>
      <w:r>
        <w:t>GE Cour de justice, 2014-11-28, FR</w:t>
      </w:r>
    </w:p>
    <w:p>
      <w:r>
        <w:rPr>
          <w:b/>
        </w:rPr>
        <w:t xml:space="preserve">Quelle: </w:t>
      </w:r>
      <w:r>
        <w:t>https://mcp.opencaselaw.ch/entscheid/ge_gerichte_ATAS_1226_2014</w:t>
      </w:r>
    </w:p>
    <w:p>
      <w:r>
        <w:t>FR: GE_GERICHTE ATAS/1226/2014 du 28 novembre 2014</w:t>
      </w:r>
    </w:p>
    <w:p>
      <w:r>
        <w:t>IT: GE_GERICHTE ATAS/1226/2014 del 28 novembre 2014</w:t>
      </w:r>
    </w:p>
    <w:p>
      <w:pPr>
        <w:pStyle w:val="Heading2"/>
      </w:pPr>
      <w:r>
        <w:t>Erwägungen</w:t>
      </w:r>
    </w:p>
    <w:p>
      <w:r>
        <w:rPr>
          <w:b/>
        </w:rPr>
        <w:t>E. 1</w:t>
      </w:r>
    </w:p>
    <w:p>
      <w:r>
        <w:t>Conformément à l'art. 134 al. 1 let. a ch. 2 de la loi sur l'organisation judiciaire du 26 septembre 2010 (LOJ; RSG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w:t>
      </w:r>
    </w:p>
    <w:p>
      <w:r>
        <w:rPr>
          <w:b/>
        </w:rPr>
        <w:t>E. 2</w:t>
      </w:r>
    </w:p>
    <w:p>
      <w:r>
        <w:t>La loi sur la partie générale des assurances sociales (LPGA), entrée en vigueur le 1er janvier 2003, est applicable au cas d’espèce.</w:t>
      </w:r>
    </w:p>
    <w:p>
      <w:r>
        <w:t>- 10/15-</w:t>
      </w:r>
    </w:p>
    <w:p>
      <w:r>
        <w:t>A/3393/2013</w:t>
      </w:r>
    </w:p>
    <w:p>
      <w:r>
        <w:rPr>
          <w:b/>
        </w:rPr>
        <w:t>E. 3</w:t>
      </w:r>
    </w:p>
    <w:p>
      <w:r>
        <w:t>Interjeté dans les formes et délai prescrits par la loi, le présent recours est recevable (art. 56 à 61 LPGA).</w:t>
      </w:r>
    </w:p>
    <w:p>
      <w:r>
        <w:rPr>
          <w:b/>
        </w:rPr>
        <w:t>E. 4</w:t>
      </w:r>
    </w:p>
    <w:p>
      <w:r>
        <w:t>Le litige porte sur la question de savoir si la recourante a droit à des prestations d’invalidité, singulièrement sur le taux d’invalidité.</w:t>
      </w:r>
    </w:p>
    <w:p>
      <w:r>
        <w:rPr>
          <w:b/>
        </w:rPr>
        <w:t>E. 5</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w:t>
      </w:r>
    </w:p>
    <w:p>
      <w:r>
        <w:t>- 11/15-</w:t>
      </w:r>
    </w:p>
    <w:p>
      <w:r>
        <w:t>A/3393/2013 écarter aussi longtemps qu'aucun indice concret ne permet de douter de leur bien- 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6</w:t>
      </w:r>
    </w:p>
    <w:p>
      <w:r>
        <w:t>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Il doit procéder à des investigations supplémentaires ou en ordonner lorsqu'il y a suffisamment de raisons pour le faire, eu égard aux griefs invoqués par les parties ou aux indices résultant du dossier. En particulier, il doit mettre en oeuvre une expertise lorsqu'il apparaît nécessaire de clarifier les aspects médicaux du cas (ATF 117 V 282 consid. 4a; RAMA 1985 p. 240 consid. 4 ; ATFA non publié I 751/03 du 19 mars 2004, consid. 3.3). Lorsque le juge des assurances sociales constate qu'une instruction est nécessaire, il doit en principe mettre lui-même en oeuvre une expertise (ATF 137 V 210 consid. 4.4.1.3 et 4.4.1.4). Un renvoi à l’administration</w:t>
      </w:r>
    </w:p>
    <w:p>
      <w:r>
        <w:t>- 12/15-</w:t>
      </w:r>
    </w:p>
    <w:p>
      <w:r>
        <w:t>A/3393/2013 reste possible, notamment lorsqu'il s'agit de préciser un point de l'expertise ordonnée par l'administration ou de demander un complément à l'expert (ATF 137 V 210 consid. 4.4.1.3 et 4.4.1.4 ; ATF non publié 8C_760/2011 du 26 janvier 2012, consid. 3). Les coûts de l'expertise peuvent être mis à la charge de l'assureur social (ATF 137 V 210 consid. 4.4.2).</w:t>
      </w:r>
    </w:p>
    <w:p>
      <w:r>
        <w:rPr>
          <w:b/>
        </w:rPr>
        <w:t>E. 7</w:t>
      </w:r>
    </w:p>
    <w:p>
      <w:r>
        <w:t>En l’espèce, l'intimé fonde sa décision principalement sur le rapport de l’examen clinique rhumato-psychiatrique de médecine interne du 13 juin 2012 effectué au sein du SMR. Du point de vue de la chambre de céans ce rapport ne peut se voir reconnaître une pleine valeur probante, faute de motivation suffisante sur plusieurs points : - Le rapport distingue en effet des poussées douloureuses pendant 5 à 10 jours, deux à trois fois par année, d'autres douleurs intermittentes, sans précision quant à l'intensité, la durée et l'influence sur la capacité de travail de ces dernières. Il convient d'apporter des réponses à ces questions. - Le rapport conclut que la fatigabilité invoquée par l'assurée n’a aucune incidence sur sa capacité de travail en se fondant uniquement sur le fait qu'elle n'a pas paru fatiguée ou fatigable au cours des examens somatiques et psychiatriques qui ont duré au total environ trois heures. L'examen de cette problématique n'apparaît pas suffisant eu égard aux dires de l'assurée qui se plaint d'être régulièrement réveillée la nuit en raison de douleurs et aux constatations du Dr B______, qui fait état dans son rapport du 12 décembre 2011 d'une fatigabilité importante au travail. - Le rapport fait référence aux seuls dires de la patiente pour exclure qu'elle ait souffert de tuméfaction articulaire, or il ressort des déclarations du Dr B______ devant la chambre de céans qu’il était évident que la patiente qu'elle en avait présenté, ce qu'elle ignorait peut-être. - La complication spécifique de cryoglobulinémie n’est quasiment pas détaillée dans le rapport. Il y a lieu d'examiner plus avant les conséquences d’une hépatite C avec cette complication.</w:t>
      </w:r>
    </w:p>
    <w:p>
      <w:r>
        <w:rPr>
          <w:b/>
        </w:rPr>
        <w:t>E. 8</w:t>
      </w:r>
    </w:p>
    <w:p>
      <w:r>
        <w:t>Quelles sont les limitations fonctionnelles dues à chaque diagnostic ?</w:t>
      </w:r>
    </w:p>
    <w:p>
      <w:r>
        <w:rPr>
          <w:b/>
        </w:rPr>
        <w:t>E. 9</w:t>
      </w:r>
    </w:p>
    <w:p>
      <w:r>
        <w:t>Pour chaque diagnostic retenu dans chaque discipline, différencier ceux ayant une influence sur la capacité de travail de ceux n'ayant pas de répercussion sur la capacité de travail.</w:t>
      </w:r>
    </w:p>
    <w:p>
      <w:r>
        <w:rPr>
          <w:b/>
        </w:rPr>
        <w:t>E. 10</w:t>
      </w:r>
    </w:p>
    <w:p>
      <w:r>
        <w:t>Mentionner, pour chaque diagnostic posé, ses conséquences sur la capacité de travail de l'expertisée en pourcent.</w:t>
      </w:r>
    </w:p>
    <w:p>
      <w:r>
        <w:rPr>
          <w:b/>
        </w:rPr>
        <w:t>E. 11</w:t>
      </w:r>
    </w:p>
    <w:p>
      <w:r>
        <w:t>Mentionner globalement les conséquences des divers diagnostics retenus sur la capacité de travail de l'expertisée, en pourcent.</w:t>
      </w:r>
    </w:p>
    <w:p>
      <w:r>
        <w:rPr>
          <w:b/>
        </w:rPr>
        <w:t>E. 12</w:t>
      </w:r>
    </w:p>
    <w:p>
      <w:r>
        <w:t>Dater la survenance de l’incapacité de travail durable, le cas échéant.</w:t>
      </w:r>
    </w:p>
    <w:p>
      <w:r>
        <w:rPr>
          <w:b/>
        </w:rPr>
        <w:t>E. 13</w:t>
      </w:r>
    </w:p>
    <w:p>
      <w:r>
        <w:t>Indiquer l'évolution du taux d'incapacité de travail, en pourcent, depuis le 8 août 2011.</w:t>
      </w:r>
    </w:p>
    <w:p>
      <w:r>
        <w:rPr>
          <w:b/>
        </w:rPr>
        <w:t>E. 14</w:t>
      </w:r>
    </w:p>
    <w:p>
      <w:r>
        <w:t>Évaluer l'exigibilité, en pourcent, d'une activité lucrative adaptée et indiquer le domaine d'activité adapté.</w:t>
      </w:r>
    </w:p>
    <w:p>
      <w:r>
        <w:rPr>
          <w:b/>
        </w:rPr>
        <w:t>E. 15</w:t>
      </w:r>
    </w:p>
    <w:p>
      <w:r>
        <w:t>Dire s'il y a une diminution de rendement et la chiffrer.</w:t>
      </w:r>
    </w:p>
    <w:p>
      <w:r>
        <w:rPr>
          <w:b/>
        </w:rPr>
        <w:t>E. 16</w:t>
      </w:r>
    </w:p>
    <w:p>
      <w:r>
        <w:t>Spécifier si, dans le calcul de la capacité de travail globale, la baisse de rendement est inclue ou à prendre en sus en considération.</w:t>
      </w:r>
    </w:p>
    <w:p>
      <w:r>
        <w:rPr>
          <w:b/>
        </w:rPr>
        <w:t>E. 17</w:t>
      </w:r>
    </w:p>
    <w:p>
      <w:r>
        <w:t>Évaluer les chances de succès d’une réadaptation professionnelle.</w:t>
      </w:r>
    </w:p>
    <w:p>
      <w:r>
        <w:rPr>
          <w:b/>
        </w:rPr>
        <w:t>E. 18</w:t>
      </w:r>
    </w:p>
    <w:p>
      <w:r>
        <w:t>Évaluer la possibilité d'améliorer la capacité de travail par des mesures médicales et préciser si un traitement est exigible ou pas.</w:t>
      </w:r>
    </w:p>
    <w:p>
      <w:r>
        <w:rPr>
          <w:b/>
        </w:rPr>
        <w:t>E. 19</w:t>
      </w:r>
    </w:p>
    <w:p>
      <w:r>
        <w:t>Commenter et discuter les avis médicaux du SMR et des médecins traitants et si les experts s'écartent de leurs conclusions sur la question des diagnostics, des limitations et de la capacité de travail de l'expertisée, dire pourquoi.</w:t>
      </w:r>
    </w:p>
    <w:p>
      <w:r>
        <w:rPr>
          <w:b/>
        </w:rPr>
        <w:t>E. 20</w:t>
      </w:r>
    </w:p>
    <w:p>
      <w:r>
        <w:t>Formuler un pronostic global.</w:t>
      </w:r>
    </w:p>
    <w:p>
      <w:r>
        <w:rPr>
          <w:b/>
        </w:rPr>
        <w:t>E. 21</w:t>
      </w:r>
    </w:p>
    <w:p>
      <w:r>
        <w:t>Faire une appréciation consensuelle du cas s’agissant de toutes les problématiques ayant des interférences entre-elles, notamment l’appréciation de la capacité de travail résiduelle.</w:t>
      </w:r>
    </w:p>
    <w:p>
      <w:r>
        <w:rPr>
          <w:b/>
        </w:rPr>
        <w:t>E. 22</w:t>
      </w:r>
    </w:p>
    <w:p>
      <w:r>
        <w:t>Faire toute remarque et proposition utiles.</w:t>
      </w:r>
    </w:p>
    <w:p>
      <w:r>
        <w:t>- 15/15-</w:t>
      </w:r>
    </w:p>
    <w:p>
      <w:r>
        <w:t>A/3393/2013 4. Invite les experts à déposer à leur meilleure convenance leur rapport en trois exemplaires à la chambre de céans. 5. Réserve le fond.</w:t>
      </w:r>
    </w:p>
    <w:p>
      <w:r>
        <w:t>La greffière</w:t>
      </w:r>
    </w:p>
    <w:p>
      <w:r>
        <w:t>Brigitte BABEL</w:t>
      </w:r>
    </w:p>
    <w:p>
      <w:r>
        <w:t>La Présidente</w:t>
      </w:r>
    </w:p>
    <w:p>
      <w:r>
        <w:t>Catherine TAPPONNIER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