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ATAS/1223/2013 vom 10. Dezember 2013</w:t>
      </w:r>
    </w:p>
    <w:p>
      <w:r>
        <w:t>GE Cour de justice, 2013-12-10, FR</w:t>
      </w:r>
    </w:p>
    <w:p>
      <w:r>
        <w:rPr>
          <w:b/>
        </w:rPr>
        <w:t xml:space="preserve">Quelle: </w:t>
      </w:r>
      <w:r>
        <w:t>https://mcp.opencaselaw.ch/entscheid/ge_gerichte_ATAS_1223_2013</w:t>
      </w:r>
    </w:p>
    <w:p>
      <w:r>
        <w:t>FR: GE_GERICHTE ATAS/1223/2013 du 10 décembre 2013</w:t>
      </w:r>
    </w:p>
    <w:p>
      <w:r>
        <w:t>IT: GE_GERICHTE ATAS/1223/2013 del 10 dicembre 2013</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A/1040/2013 - 17/23 -</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plus particulièrement sur le point de savoir si la section du tendon de l’extenseur a eu une incidence sur sa capacité de gain. Bien que la recourante allègue l’existence d’un lien de causalité entre le syndrome du tunnel tarsien dans son écriture du 27 mars 2013, la Cour de céans a déjà exclu un tel rapport de causalité dans son arrêt du 17 mai 2011, si bien que cette question n’est plus litigieuse.</w:t>
      </w:r>
    </w:p>
    <w:p>
      <w:r>
        <w:rPr>
          <w:b/>
        </w:rPr>
        <w:t>E. 6</w:t>
      </w:r>
    </w:p>
    <w:p>
      <w:r>
        <w:t>octobre 2000, consid. 4).</w:t>
      </w:r>
    </w:p>
    <w:p>
      <w:r>
        <w:t>A/1040/2013 - 18/23 -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w:t>
      </w:r>
    </w:p>
    <w:p>
      <w:r>
        <w:rPr>
          <w:b/>
        </w:rPr>
        <w:t>E. 7</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w:t>
      </w:r>
    </w:p>
    <w:p>
      <w:r>
        <w:t>A/1040/2013 - 19/23 -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l’intimée s’est conformée aux instructions ressortant de l’arrêt du 17 mai 2011 de la Cour de céans en interpelant les Drs H___________ et R_________. Les réponses apportées par ces derniers appellent les remarques suivantes. On relèvera en premier lieu que compte tenu de leurs compléments d’expertise, les rapports des Drs H___________ et R_________ satisfont désormais en tous points aux exigences posées par le Tribunal fédéral pour se voir reconnaître une pleine valeur probante. Ils comprennent en effet tous les éléments d’ordre formel requis par la jurisprudence, puisqu’ils se fondent sur une étude du dossier, rappellent l’anamnèse, tiennent compte des plaintes de la recourante, que les diagnostics sont clairs et que les conclusions sur la capacité de travail ont été motivées et clarifiées dans les compléments requis par l’intimée. Partant, il n’existe aucun motif de s’écarter des constatations des experts, aux termes desquelles l’assurée ne subissait plus aucune incapacité de travail du fait de la section du long extenseur du gros orteil droit survenue lors de l’accident du 31 octobre 1992. Il n’est d’ailleurs pas inutile de relever que le Dr K__________ est parvenu à la même conclusion dans le rapport établi par le COMAI, cette expertise ayant été écartée dans l’arrêt du 17 mai 2011 au motif que ses conclusions tenaient compte d’atteintes dont l’intimée ne répond pas. On relèvera d’ailleurs que les activités professionnelles de la recourante après l’accident corroborent les conclusions des experts H___________ et R_________. En effet, elle a été capable de reprendre son activité pour le compte</w:t>
      </w:r>
    </w:p>
    <w:p>
      <w:r>
        <w:t>A/1040/2013 - 20/23 - de la X___________ dans un premier temps et a même commencé à effectuer des nettoyages pour le compte de Z___________ en 1995, ce qui démontre que sa capacité de travail en lien avec la lésion subie en octobre 1992 s’étend à ce type d’activité. Si la recourante a bien plus tard affirmé aux experts de la clinique CORELA qu’elle déléguait en réalité les nettoyages à son époux, ce n’est pas ce qu’elle a indiqué à l’inspecteur de l’intimée en mai 1997. Or, selon le principe de la « déclaration de la première heure » développé par la jurisprudence et applicable de manière générale en assurances sociales (ATF non publié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Les griefs de la recourante ne permettent pas de conclure à une autre appréciation. On ne peut en particulier pas la suivre lorsqu’elle affirme que la Cour de céans a considéré que l’expertise du Dr R_________ devait être écartée et que partant, l’adhésion du Dr H___________ aux conclusions de son confrère n’a aucune valeur. Si l’arrêt du 17 mai 2011 relevait certes que les indications des experts H___________ et R_________ n’étaient pas suffisamment motivées s’agissant de la capacité de travail liée à la lésion accidentelle, la Cour de céans n’a pas pour autant nié toute valeur probante à leurs expertises mais a simplement constaté que les experts devaient amener certaines précisions sur ce point, ce qui est désormais chose faite. Il est également inexact d’affirmer que le Dr H___________ s’est borné à reprendre les conclusions du Dr R_________ au motif qu’elles étaient plus récentes. D’une part, le Dr H___________ a exposé que la lésion accidentelle de la recourante n’était pas de nature à entraîner une incapacité de travail complète. D’autre part, il convient de souligner que ce médecin a examiné la recourante avant le 1er janvier 1999, soit avant la date dès laquelle le droit à une rente est litigieux. Par conséquent, il est judicieux que le Dr H___________ se réfère aux constatations de son confrère, lesquelles sont postérieures à cette date et amènent un éclairage lui permettant de confirmer son estimation rétrospective de la capacité de travail. Enfin, une lecture attentive du rapport initial du Dr H___________ démontre que ce dernier n’avait alors en réalité pas évalué de manière exacte la capacité de travail – comme il le reconnaît d’ailleurs lui-même dans son complément d’expertise – mais qu’il s’était contenté de relever que l’incapacité de travail imputable à l’intervention du mois de janvier 1997 n’était pas due exclusivement mais seulement pour moitié aux suites de l’accident. Il n’a dès lors nullement reconnu une incapacité de travail de 50 % à la recourante, contrairement à ce que l'on pouvait comprendre. C’est au demeurant uniquement sur le fait que l’intervention de janvier 1997 et l’incapacité de travail qui en a résulté n’avaient pas pour unique cause la lésion accidentelle que le Dr R_________ a donné raison au Dr H___________ dans ses explications du 27 septembre 2012. Ses indications à ce propos sont parfaitement claires.</w:t>
      </w:r>
    </w:p>
    <w:p>
      <w:r>
        <w:t>A/1040/2013 - 21/23 - La recourante reproche également au Dr H___________ d’avoir fixé la capacité de travail de manière générale. L’art. 6 LPGA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L’estimation de l’incapacité de travail consiste à déterminer l’incidence d’une atteinte donnée sur l’activité concrètement exercée et suppose une connaissance des répercussions de cette atteinte sur cette activité (Ueli KIESER, ATSG-Kommentar: Kommentar zum Bundesgesetz über den Allgemeinen Teil des Sozialversicherungsrechts vom 6. Oktober 2000, 2ème éd., Zurich 2009, n. 3 ad art. 6). C’est précisément à une analyse de cet ordre que s’est livré le Dr H___________ en se prononçant sur les effets d’un dysfonctionnement de l’orteil avec les exigences d’une activité donnée, de sorte que le grief de la recourante tombe à faux. La recourante semble par ailleurs mettre en doute le rapport du Dr R_________ au motif que ce dernier n’indiquerait pas les éléments du dossier dont il disposait. Or, cet expert a expressément signalé à l’intimée qu’il avait conservé l’intégralité du dossier dont il avait pu prendre connaissance à l’époque, de sorte que ce grief ne peut être retenu. La recourante critique enfin le fait que l’intimée ne se soit fondée que sur le complément d’expertise du Dr H___________. On distingue cependant mal la pertinence de ce moyen. Il est vrai que la décision sujette à opposition reposait sur les précisions recueillies auprès de ce médecin uniquement. Cependant, dans la mesure où le Dr H___________ rejoint désormais le Dr R_________ et que les compléments d’expertise visaient précisément à élucider les divergences entre leurs rapports respectifs, il n’était pas indispensable de requérir un complément du Dr R_________, dont les conclusions ne sont au demeurant d’aucun secours pour la recourante. Eu égard à ce qui précède, il n’existe pas de motif de s’écarter des conclusions convergentes des Drs H___________ et R_________, aux termes desquels la recourante ne présentait plus dès le 1er janvier 1999 d’incapacité de travail en lien avec les lésions consécutives à son accident. Celle-ci conclut à la mise en œuvre d’une expertise.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(KIESER, op. cit., n. 72 ad art. 61 ; ATF 130 II 425 consid. 2.1; ATF 124</w:t>
      </w:r>
    </w:p>
    <w:p>
      <w:r>
        <w:t>A/1040/2013 - 22/23 - V 90 consid. 4b; ATF 122 V 157 consid. 1d). Compte tenu de la force probante des rapports des Drs H___________ et R_________, une telle mesure d’instruction s’avère superflue. On soulignera d’ailleurs que la Cour de céans n’a pas considéré que seule une nouvelle expertise serait à même d’éclaircir le droit aux prestations de la recourante. Cette dernière a d’ailleurs refusé l’examen complet que l’intimée se proposait de diligenter, de sorte qu’il est surprenant qu’elle allègue désormais que dans le cas d’espèce, des compléments d’expertise ne permettent pas d’éclaircir les points restés litigieux.</w:t>
      </w:r>
    </w:p>
    <w:p>
      <w:r>
        <w:rPr>
          <w:b/>
        </w:rPr>
        <w:t>E. 9</w:t>
      </w:r>
    </w:p>
    <w:p>
      <w:r>
        <w:t>Eu égard à ce qui précède, les décisions de l’intimée doivent être confirmées en tant qu’elles mettent fin au droit de la recourante à des prestations dès le 1er janvier 1999. L’intimée conclut à des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(ATF 126 V 143 consid 4a). Dans la mesure où l’intimée n’est pas représentée et que le litige ne pose aucune difficulté particulière, aucune indemnité ne lui sera allouée à ce titre. Pour le surplus, la procédure est gratuite (art. 61 let. a LPGA).</w:t>
      </w:r>
    </w:p>
    <w:p>
      <w:r>
        <w:t>A/1040/2013 - 23/23 -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