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ATAS/1222/2010 vom 30. November 2010</w:t>
      </w:r>
    </w:p>
    <w:p>
      <w:r>
        <w:t>GE Cour de justice, 2010-11-30, FR</w:t>
      </w:r>
    </w:p>
    <w:p>
      <w:r>
        <w:rPr>
          <w:b/>
        </w:rPr>
        <w:t xml:space="preserve">Quelle: </w:t>
      </w:r>
      <w:r>
        <w:t>https://mcp.opencaselaw.ch/entscheid/ge_gerichte_ATAS_1222_2010</w:t>
      </w:r>
    </w:p>
    <w:p>
      <w:r>
        <w:t>FR: GE_GERICHTE ATAS/1222/2010 du 30 novembre 2010</w:t>
      </w:r>
    </w:p>
    <w:p>
      <w:r>
        <w:t>IT: GE_GERICHTE ATAS/1222/2010 del 30 novembre 2010</w:t>
      </w:r>
    </w:p>
    <w:p>
      <w:pPr>
        <w:pStyle w:val="Heading2"/>
      </w:pPr>
      <w:r>
        <w:t>Erwägungen</w:t>
      </w:r>
    </w:p>
    <w:p>
      <w:r>
        <w:rPr>
          <w:b/>
        </w:rPr>
        <w:t>E. 1</w:t>
      </w:r>
    </w:p>
    <w:p>
      <w:r>
        <w:t>Dans son ordonnance d’expertise du 26 novembre 2009, le Tribunal de céans a déjà traité les questions relatives à sa compétence, au droit applicable et à l’objet du li- tige, de sorte qu’il n’y a pas lieu d'y revenir.</w:t>
      </w:r>
    </w:p>
    <w:p>
      <w:r>
        <w:rPr>
          <w:b/>
        </w:rPr>
        <w:t>E. 2</w:t>
      </w:r>
    </w:p>
    <w:p>
      <w:r>
        <w:t>Est réputée invalidité, l'incapacité de gain totale ou partielle présumée permanente ou de longue durée, résultant d'une infirmité congénitale, d'une maladie ou d'un ac- 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 que. En cas d'incapacité de travail de longue durée, l'activité qui peut être exigée de lui peut aussi relever d'une autre profession ou d'un autre domaine d'activité. En vertu de l'art. 7 LPGA, est réputée incapacité de gain toute diminution de l'ensem-</w:t>
      </w:r>
    </w:p>
    <w:p>
      <w:r>
        <w:t>A/225/2009 - 11/17 - ble ou d'une partie des possibilités de gain de l'assuré sur un marché du travail équi- libré dans son domaine d'activité, si cette diminution résulte d'une atteinte à sa santé physique, mentale ou psychique et qu'elle persiste après les traitements et les mesu- res de réadaptation exigibles. Pour évaluer le taux d'invalidité, le revenu que l'assu- ré aurait pu obtenir s'il n'était pas invalide est comparé avec celui qu'il pourrait ob- tenir en exerçant l'activité qui peut raisonnablement être exigée de lui après les trai- tements et les mesures de réadaptation, sur un marché du travail équilibré (art. 16 LPGA et art. 28 al. 2 LAI). Les atteintes à la santé psychique peuvent, comme les atteintes physiques, entraîner une invalidité au sens de l'art. 4 al. 1 LAI en liaison avec l'art. 8 LPGA. La recon- naissance de l'existence d'une atteinte invalidante à la santé psychique suppose en principe la présence d'un diagnostic émanant d'un expert (psychiatre) et s'appuyant sur les critères d'un système de classification reconnu ( cf. ATF 130 V 402 consid. 6.3 ; ATFA non publié I 701/04 consid. 1.4). On ne considère pas comme des conséquences d'un état psychique maladif, donc pas comme des affections à pren- 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En vertu de l’art. 28 al. 1 LAI, l’assuré a droit à une rente entière s’il est invalide à 70% au moins, à un trois-quarts de rente s'il est invalide à 60% au moins, à une demi-rente s’il est invalide à 50% au moins, ou à un quart de rente s’il est invalide à 40% au moins.</w:t>
      </w:r>
    </w:p>
    <w:p>
      <w:r>
        <w:rPr>
          <w:b/>
        </w:rPr>
        <w:t>E. 3</w:t>
      </w:r>
    </w:p>
    <w:p>
      <w:r>
        <w:t>Sans remettre en cause le principe de la libre appréciation des preuves, le Tribunal fédéral a posé des lignes directrices en ce qui concerne la manière d’apprécier cer- tains types d’expertises ou de rapports médicaux. Ainsi, le juge ne s’écarte en prin- 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 tise judiciaire le fait que celle-ci contient des contradictions, ou qu’une sur- expertise ordonnée par le tribunal en infirme les conclusions de manière convain- 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 velle expertise médicale (ATF 125 V 351 consid. 3b/aa). Lorsque, au stade de la procédure administrative, une expertise confiée à un méde- cin indépendant est établie par un spécialiste reconnu, sur la base d’observations</w:t>
      </w:r>
    </w:p>
    <w:p>
      <w:r>
        <w:t>A/225/2009 - 12/17 - approfondies et d’investigations complètes, ainsi qu’en pleine connaissance du dos- sier, et que l’expert aboutit à des résultats convaincants, le juge ne saurait les écar- ter aussi longtemps qu’aucun indice concret ne permet de douter de leur bien-fondé (ATF 125 V 351 consid. 3b/bb). En principe, le juge ne s'écarte pas sans motifs impérieux des conclusions d'une ex- 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 tent des opinions contraires aptes à mettre sérieusement en doute la pertinence des déductions de l'expert, on ne peut exclure, selon les cas, une interprétation diver- gente des conclusions de ce dernier par le juge ou, au besoin, une instruction com- plémentaire sous la forme d'une nouvelle expertise médicale (ATF 125 V 351 consid. 3b/aa p. et les références).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 tants ont une opinion contradictoire. Il n'en va différemment que si ces médecins traitants font état d'éléments objectivement vérifiables ayant été ignorés dans le ca- dre de l'expertise et qui sont suffisamment pertinents pour remettre en cause les conclusions de l'expert (ATF non publié 9C_776/2009 du 11 juin 2010, consid. 2.2).</w:t>
      </w:r>
    </w:p>
    <w:p>
      <w:r>
        <w:rPr>
          <w:b/>
        </w:rPr>
        <w:t>E. 4</w:t>
      </w:r>
    </w:p>
    <w:p>
      <w:r>
        <w:t>En l'espèce, la Dresse J_________ a rédigé son rapport d’expertise après avoir pris connaissance du dossier constitué par l’intimé et examiné la recourante à deux re- prises, en févier 2010. Lors de ses examens, l'expert a observé principalement un appauvrissement de la pensée, une nette réduction de l’énergie vitale, un sentiment de perte d’espoir avec pessimisme de l’humeur, une phobie avec peur irraisonnée se manifestant à l’extérieur par des réactions d’évitement, des obsessions avec idées fixes associées à un sentiment pénible, une anxiété psychique majeure, une perte de l’estime de soi, une abolition de la libido, une abolition de la sociabilité et une into- lérance au bruit. Elle a justifié le diagnostic d’agoraphobie avec trouble panique par la présence, de manifestations anxieuses psychiques et neurovégétatives survenant essentiellement dans des situations d’exposition telles la foule, les magasins, les</w:t>
      </w:r>
    </w:p>
    <w:p>
      <w:r>
        <w:t>A/225/2009 - 13/17 - endroits publics où le déplacement sans accompagnement s’avère impossible, mais aussi d'un comportement d'évitement dont elle a précisé qu'il était au premier plan des symptômes, et d’une anxiété épisodique paroxystique (trouble panique) dont les épisodes restent imprévisibles. L’intimé soutient que le diagnostic d’agoraphobie avec trouble panique repose sur les seules plaintes de la recourante, non objectivées lors de l’expertise. Or, le dia- gnostic psychique a cette particularité qu’il repose tant sur les plaintes de l’assuré que sur l’examen clinique du médecin. Par conséquent, il appartient à ce dernier de confirmer ou infirmer les plaintes de l’expertisé au vu de ses observations médica- les et de son expérience. La Dresse J_________ a strictement rempli son mandat d’expert, puisque, sur la base des constatations faites de son examen clinique, elle a relativisé plusieurs des plaintes de la recourante (notamment le ralentissement de la pensée, la réduction de l’énergie vitale, la perplexité face à son avenir, l’asthénie af- fective qu’elle a jugée bien inférieure à celle éprouvée). Au vu des explications données par l’expert, on ne voit pas en quoi le diagnostic d’agoraphobie avec trou- ble panique ne correspondrait pas à ses constatations. En définitive, le rapport d'expertise, établi après quatre entretiens téléphoniques avec le Dr G__________, s'avère conforme aux Lignes directrices de la Société suisse de psychiatrie d'assurance pour l'expertise médicale des troubles psychiques (Bulletin des médecins suisses 2004/85 p. 1905ss). En effet, il contient une partie consacrée à une discussion générale du cas, où sont intégrés, dans un tableau global cohérent, les renseignements issus du dossier, l'anamnèse, les indications subjecti- ves, l'observation clinique et le résultat des examens complémentaires pratiqués. De plus, il comporte des conclusions cohérentes et motivées de façon convaincante en tant qu’il explique pourquoi l’expert retient le diagnostic d’agoraphobie avec trou- ble panique et non ceux de troubles dépressifs, de troubles obsessionnels ou de phobie sociale. En outre, l’appréciation de la capacité de travail - considérée comme nulle par l'expert depuis une période proche de l’accident du 13 novembre 2006 - correspond pour l’essentiel à celle faite par le Dr G__________, dans son rapport du 19 janvier 2009 (totale incapacité de travail depuis dix-huit mois, soit depuis juillet 2007). Les réserves émises par le Tribunal de céans dans son ordonnance d’expertise du 26 novembre 2009 concernant la valeur probante de l’expertise du COMAI au re- gard des constatations divergentes et des explications motivées du psychiatre trai- tant ne peuvent être que confirmées. En effet, dans son évaluation psychiatrique du 25 août 2008, le Dr E__________ est parti du constat que la recourante ne parve- nait pas à répondre à plusieurs de ses questions. Il en a déduit l'absence d’épisode d’anxiété paroxystique ou d’agoraphobie, d’éléments d’anxiété généralisée ou en- core de troubles de la perception, ce qui est contredit par l’anamnèse des autres rapports médicaux. Force est de constater que dans ces circonstances, les conclu- sions des experts du COMAI reposent sur une anamnèse erronée et n’ont donc pas</w:t>
      </w:r>
    </w:p>
    <w:p>
      <w:r>
        <w:t>A/225/2009 - 14/17 - de valeur probante. Au vu des conclusions de l’expertise de la Dresse J_________, qui corroborent l’appréciation de la capacité de travail de la recourante faite par le Dr G__________, il y a lieu d’écarter le rapport du COMAI. Selon l'intimé, la valeur probante du rapport de la Dresse J_________ serait égale- ment remise en question par le fait que le diagnostic finalement retenu ne l'ait ja- mais été auparavant, par l'existence de nombreuses zones d'ombre et l’absence d’interprète extérieur. Le fait que l'expert judiciaire ait retenu d'autres diagnostics que les autres médecins ne constitue pas en soi un motif pour nier la force probante de ses conclusions (cf. ATF non publié 9C_620/07 du 25 avril 2008 consid. 3.2). De plus, la Dresse J_________ précise que les rares symptômes dépressifs obsessionnels et de phobie sociale ne sont pas au premier plan mais résultent de toutes les formes d’évitement (replis social) ou de l’anticipation anxieuse avec invalidation. Par conséquent, contrairement à ce que soutient l’intimé, elle explique pourquoi elle n’a pas retenu les mêmes diagnostics que les autres psychiatres. Quant aux "nombreuses zones d’ombre" évoquées par l'intimé et relatives à l’étiologie de l’anémie ferriprive, à l’origine de la dose subtoxique d'antidépresseur, à l’adhérence de la recourante à une stratégie thérapeutique, à l’éventuelle origine organique du tableau psychiatrique et au possible syndrome de Gerstmann, il y a lieu d’observer qu'au contraire, elles montrent à quel point le travail de l'expert est fouillé puisqu'il s'est posé des questions que ne s'étaient pas posées ses confrères auparavant. Or, le rôle d'un expert consiste notamment à se faire une idée sur l'état de santé d'un assuré dans un délai relativement bref (ATF non publié 9C_443/2008 du 28 avril 2009). Dès lors, contrairement à ce que soutient l’intimé, il ne lui appar- tenait pas de faire procéder à des examens complémentaires dans le cadre de son mandat d’expertise d’autant plus que les « zones d’ombre » invoquées n’ont pas d’incidence sur l’appréciation de la capacité de travail de la recourante à partir de l’accident du 13 novembre 2006 et jusqu’à la date de la décision litigieuse, seule pertinente dans le cadre de la présente procédure. S’agissant de l’éventuelle adhé- rence incomplète au traitement, il convient de relever qu’il s’agit d’une des raisons pour lesquelles les experts du COMAI ont diagnostiqué un trouble somatoforme douloureux, soit un diagnostic posé par exclusion qui n’a pas été retenu par la Dresse J_________ au vu de son diagnostic final. Enfin, on rappellera que l’exercice du droit à un interprète découle de l’art. 29 al. 2 Cst. La condition sine qua non pour faire valoir un droit à l'interprète est qu'un pro- blème de langue fasse obstacle au bon déroulement de la procédure ou lèse les droits de l’assuré (ATF non publié 6B_380/2008 du 4 août 2008, consid. 4.1). Par conséquent, un tel droit ne peut être invoqué que par la personne qui ne parle pas la langue de la procédure, soit dans une procédure du droit des assurances sociales, l’assuré. Étant donné que la recourante ne soulève aucun grief sur l’activité</w:t>
      </w:r>
    </w:p>
    <w:p>
      <w:r>
        <w:t>A/225/2009 - 15/17 - d’interprète accomplie par son fils lors de l’expertise, l’intimé ne peut en tirer au- cun argument d’autant plus que ses griefs consistent en de simples suppositions nullement établies. En effet, la qualité d’une expertise doit être examinée au regard de son contenu matériel qui, seul, permet en définitive d'apprécier le droit litigieux (cf. ATF non publié 9C_359/2009 du 26 mars 2010, consid. 4.2). Or, dans la me- sure où le contenu matériel de ladite expertise permet de trancher le litige, aucun grief de qualité ne peut être retenu. Par ailleurs, contrairement à ce que soutient l’intimé, en pratique il est extrêmement rare que le recours à un interprète profes- sionnel soit nécessaire car, soit l’assuré bénéficie de l’assistance d’un avocat, d’un membre d’une autorité ou institution qui l’assiste, soit un membre de sa famille (en- fant qui a fait sa scolarité en Suisse) ou un ami qui maîtrise la langue utilisée l’accompagne (BLANC, la procédure administrative en assurance-invalidité, 1999, p. 230 note 1104). S’agissant des griefs de la recourante, il y a lieu de préciser que, même si la Dresse J_________ n'a pas fait référence à un système de classification reconnu sur le plan psychiatrique, le seul diagnostic d’agoraphobie avec trouble panique n'amoindrit pas la valeur probante de son rapport d’expertise dans la mesure où il est connu et permet de se faire une idée précise de l'étendue du trouble dont souffre la recourante (cf. ATFA non publié I 1084/06 du 26 novembre 2007, consid. 4). En définitive, les réponses apportées par l'expert aux questions posées par le Tribu- nal de céans apparaissent complètes et convaincantes. Son rapport ne contient ni contradictions, ni défauts manifestes. Par ses critiques, le médecin du SMR tente de substituer sa propre appréciation à celle de l'expert mais ne démontre pas de ca- rence évidente dans l'évaluation. Par conséquent, il y a lieu de suivre les conclusions de l'expert et, partant, de conclure à une totale incapacité à exercer la moindre activité depuis l’accident du 13 novembre 2006.</w:t>
      </w:r>
    </w:p>
    <w:p>
      <w:r>
        <w:rPr>
          <w:b/>
        </w:rPr>
        <w:t>E. 5</w:t>
      </w:r>
    </w:p>
    <w:p>
      <w:r>
        <w:t>Reste à déterminer le degré d'invalidité et le moment où est né l'éventuel droit à une rente. Selon la lettre-circulaire n° 253 du 12 décembre 2007 de l’OFFICE FEDERAL DES ASSURANCES SOCIALES, si le cas d’assurance survient avant le 1er janvier 2008, c’est l’ancien droit qui est applicable. En l’espèce, l'incapacité de travail d’au moins 40% remonte au 14 novembre 2006 et la demande de prestations a été déposée le 10 janvier 2008. Par conséquent, la survenance du cas d’assurance - soit la naissance éventuelle du droit à la rente - se situe en novembre 2007, le délai de carence ayant commencé à courir le 14 novem- bre de l’année précédente (art. 29 al. 1 let. b aLAI). Aussi, le droit à une rente de l’assurance-invalidité doit être reconnu dès le 1er novembre 2007 (art. 28 aLAI).</w:t>
      </w:r>
    </w:p>
    <w:p>
      <w:r>
        <w:t>A/225/2009 - 16/17 - Lors de l'examen initial du droit à la rente, il convient d'examiner quelle est la mé- thode d'évaluation de l'invalidité qu'il s'agit d'appliquer. Le choix de l'une des trois méthodes reconnues (méthode générale de comparaison des revenus : art. 28a al. 1 LAI en corrélation avec l'art. 16 LPGA, méthode spécifique art. 28a al. 2 LAI en corrélation avec les art. 27 RAI et 8 al. 3 LPGA, méthode mixte art. 28a al. 3 LAI en corrélation avec l'art. 27bis RAI, ainsi que les art. 16 LPGA et 28a al. 2 LAI en corrélation avec les art. 27 RAI et 8 al. 3 LPGA) dépendra du statut du bénéfi- ciaire potentiel de la rente: assuré exerçant une activité lucrative à temps complet, assuré non actif, assuré exerçant une activité lucrative à temps partiel. S’agissant du choix de la méthode pour déterminer le degré d’invalidité, force est de constater que la recourante travaillait jusqu’à son accident à un taux de 47% ce qui semble dénoter un statut mixte pour lequel il conviendrait d’appliquer la mé- thode mixte (ATF 130 V 393 consid. 3.3 et ATF 125 V 146 consid. 2c ainsi que les références). Or, de même que pour les assurés actifs, l'incapacité de travail selon l'art. 28a al. 2 et 3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 pond à la diminution - attestée médicalement - du rendement fonctionnel dans l'ac- complissement des travaux habituels (ATF 130 V 97). Pour évaluer l'invalidité des assurés travaillant dans le ménage, l'administration procède à une enquête sur les activités ménagères et fixe l'empêchement dans cha- cun des travaux habituels conformément à la circulaire concernant l'invalidité et l'impotence de l'assurance-invalidité (CIIAI; chiffres 3084 ss dans sa version en vi- gueur jusqu’au 31 décembre 2008). En l’espèce, l’intimé n’a pas établi le statut de la recourante et n’a procédé à aucune instruction telle qu’enquête ménagère et appréciation médicale concernant les di- vers empêchements dans la tenue du ménage. Par conséquent, le Tribunal de céans peut uniquement conclure que la recourante présente une invalidité de 100% pour ce qui a trait à son activité professionnelle et renvoyer le dossier à l’intimé pour ins- truction complémentaire s’agissant des tâches ménagères.</w:t>
      </w:r>
    </w:p>
    <w:p>
      <w:r>
        <w:rPr>
          <w:b/>
        </w:rPr>
        <w:t>E. 6</w:t>
      </w:r>
    </w:p>
    <w:p>
      <w:r>
        <w:t>Au vu de ce qui précède, le recours est partiellement admis, la décision du 8 dé- cembre 2008 annulée au sens des considérants et le dossier renvoyé à l'intimé pour instruction complémentaire s’agissant du statut de la recourante et des ses empê- chements sans les activités ménagères, puis nouvelle décision. La recourante obtenant gain de cause, une indemnité de 2’500 fr. lui sera accordée à titre de dépens (art. 61 let. g LPGA). Au vu du sort du recours, il y a lieu de condamner l'intimé au paiement d'un émolument de 2’000 fr. (art. 69 al. 1bis LAI).</w:t>
      </w:r>
    </w:p>
    <w:p>
      <w:r>
        <w:t>A/225/2009 - 17/17 -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