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ATAS/1220/2021 vom 30. November 2021</w:t>
      </w:r>
    </w:p>
    <w:p>
      <w:r>
        <w:t>GE Cour de justice, 2021-11-30, FR</w:t>
      </w:r>
    </w:p>
    <w:p>
      <w:r>
        <w:rPr>
          <w:b/>
        </w:rPr>
        <w:t xml:space="preserve">Quelle: </w:t>
      </w:r>
      <w:r>
        <w:t>https://mcp.opencaselaw.ch/entscheid/ge_gerichte_ATAS_1220_2021</w:t>
      </w:r>
    </w:p>
    <w:p>
      <w:r>
        <w:t>FR: GE_GERICHTE ATAS/1220/2021 du 30 novembre 2021</w:t>
      </w:r>
    </w:p>
    <w:p>
      <w:r>
        <w:t>IT: GE_GERICHTE ATAS/1220/2021 del 30 novembre 2021</w:t>
      </w:r>
    </w:p>
    <w:p>
      <w:pPr>
        <w:pStyle w:val="Heading2"/>
      </w:pPr>
      <w:r>
        <w:t>Erwägungen</w:t>
      </w:r>
    </w:p>
    <w:p>
      <w:r>
        <w:rPr>
          <w:b/>
        </w:rPr>
        <w:t>E. 1</w:t>
      </w:r>
    </w:p>
    <w:p>
      <w:r>
        <w:t>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 Selon la police d’assurance, le contrat est régi par la LCA. La compétence de la chambre de céans à raison de la matière pour juger du cas d’espèce est ainsi établie.</w:t>
      </w:r>
    </w:p>
    <w:p>
      <w:r>
        <w:rPr>
          <w:b/>
        </w:rPr>
        <w:t>E. 2</w:t>
      </w:r>
    </w:p>
    <w:p>
      <w:r>
        <w:t>A/2489/2020 - 9/19 -</w:t>
      </w:r>
    </w:p>
    <w:p>
      <w:r>
        <w:rPr>
          <w:b/>
        </w:rPr>
        <w:t>E. 2.1</w:t>
      </w:r>
    </w:p>
    <w:p>
      <w:r>
        <w:t>L'art. 46a LCA prescrit que le for se définit selon la loi du 24 mars 2000 sur les fors (LFors) qui a été abrogée au 1er janvier 2011 par l’entrée en vigueur du CPC, auquel il convient désormais de se référer. Sauf dispositions contraires de la loi, pour les actions dirigées contre les personnes morales, le for est celui de leur siège (art. 10 al. 1 let. b CPC), étant précisé que l’art. 17 al. 1 CPC consacre la possibilité d’une élection de for écrite.</w:t>
      </w:r>
    </w:p>
    <w:p>
      <w:r>
        <w:rPr>
          <w:b/>
        </w:rPr>
        <w:t>E. 2.2</w:t>
      </w:r>
    </w:p>
    <w:p>
      <w:r>
        <w:t>En l’occurrence, l’art. 31 des conditions générales d’assurance (ci-après : CGA) pour les assurances-maladies complémentaires, version 2014, prévoit que pour toutes les actions au sujet du contrat d’assurance, sont compétents au choix soit les tribunaux du domicile suisse des personnes assurées et des ayants droit, soit ceux du siège de l’assureur. Le demandeur ayant son domicile à Genève, la chambre de céans est compétente à raison du lieu pour connaître de la présente demande.</w:t>
      </w:r>
    </w:p>
    <w:p>
      <w:r>
        <w:rPr>
          <w:b/>
        </w:rPr>
        <w:t>E. 3</w:t>
      </w:r>
    </w:p>
    <w:p>
      <w:r>
        <w:t>Les litiges relatifs aux assurances complémentaires à l'assurance-maladie ne sont pas soumis à la procédure de conciliation préalable de l'art. 197 CPC lorsque les cantons ont prévu une instance cantonale unique selon l'art. 7 CPC (ATF 138 III 558 consid. 4.5 et 4.6 ; ATAS/577/2011 du 31 mai 2011), étant précisé que le législateur genevois a fait usage de cette possibilité (art. 134 al. 1 let. c LOJ).</w:t>
      </w:r>
    </w:p>
    <w:p>
      <w:r>
        <w:rPr>
          <w:b/>
        </w:rPr>
        <w:t>E. 4</w:t>
      </w:r>
    </w:p>
    <w:p>
      <w:r>
        <w:t>La demande, qui comporte notamment un exposé des faits et des conclusions, respecte les conditions de forme légales (art. 130 et 244 CPC). Il convient toutefois d'examiner la recevabilité des deux premières conclusions principales du demandeur, celles-ci étant de nature constatatoire.</w:t>
      </w:r>
    </w:p>
    <w:p>
      <w:r>
        <w:rPr>
          <w:b/>
        </w:rPr>
        <w:t>E. 4.1</w:t>
      </w:r>
    </w:p>
    <w:p>
      <w:r>
        <w:t>Selon l'art. 88 CPC, le demandeur intente une action en constatation de droit pour faire constater par un tribunal l'existence ou l'inexistence d'un droit ou d'un rapport de droit. Selon une jurisprudence constante, une conclusion en constatation de droit est recevable si le demandeur dispose d'un intérêt de fait ou de droit digne de protection à la constatation immédiate de la situation de droit (cf. art. 59 al. 2 let. a CPC ; sur les conditions de cette action, cf. ATF 141 III 68 consid. 2.3 ; ATF 136 III 523 consid. 5 ; ATF 135 III 378 consid. 2.2). L'action en constatation de droit est subsidiaire par rapport à l'action condamnatoire ou à l'action formatrice. Seules des circonstances exceptionnelles conduisent à admettre l'existence d'un intérêt digne de protection à la constatation de droit lorsqu'une action en exécution est ouverte. Un litige doit en principe être soumis au juge dans son ensemble par la voie de droit prévue à cet effet. Le créancier qui dispose d'une action condamnatoire ne peut en tout cas pas choisir d'isoler des questions juridiques pour les soumettre séparément au juge par la voie d'une action en constatation de droit (ATF 135 III 378 consid. 2.2). Il appartient au demandeur d'établir qu'il dispose d'un intérêt digne de protection à la constatation (cf. arrêt du Tribunal fédéral 4A_688/2016 du 5 avril 2017 consid. 3.3).</w:t>
      </w:r>
    </w:p>
    <w:p>
      <w:r>
        <w:t>A/2489/2020 - 10/19 - Le but de la demande en constatation de droit est de clarifier une situation juridique lorsque les parties sont en désaccord. Elle a généralement pour objet de faire constater l'existence ou l'inexistence, actuelle et prétendue, d'un rapport de droit (François BOHNET, in Commentaire romand, 2019, n° 13 ad art. 88 CPC). Un intérêt au constat peut exister lorsqu'une action condamnatoire est possible pour une prestation, mais qu'il s'agit de lever les incertitudes sur l'existence d'un rapport de droit dont elle est issue (arrêts du Tribunal fédéral 4A_719/2016 du 31 août 2017 consid. 1.2.3 ; 5C.7/2004 du 22 avril 2004 consid. 1 ; 5C.151/2002 du 30 septembre 2002 consid. 1.2 ; BOHNET, op. cit., n° 15 ad art. 88 CPC). En matière d’assurances complémentaires, le Tribunal fédéral a ainsi confirmé l’existence d’un intérêt digne de protection à voir des conclusions constatatoires tranchées portant sur l’obligation de prester de l’assurance (arrêt du Tribunal fédéral 5C.151/2002 du 30 septembre 2002 consid. 1.2).</w:t>
      </w:r>
    </w:p>
    <w:p>
      <w:r>
        <w:rPr>
          <w:b/>
        </w:rPr>
        <w:t>E. 4.2</w:t>
      </w:r>
    </w:p>
    <w:p>
      <w:r>
        <w:t>En l'espèce, le contrat d'assurance complémentaire a été résilié avec effet au 31 août 2019 en raison d'une réticence qui se rapporte au fait de ne pas avoir annoncé la présence d’une hématospermie intermittente, d’une hypertrophie bénigne de la prostate asymptomatique et d’une intolérance au lactose. Dans ses écritures, l’assuré demande principalement à la chambre de céans de constater que le contrat d'assurance complémentaire n’a pas été valablement résilié et que le contrat d'assurance complémentaire liant le demandeur et la défenderesse est maintenu. Conformément à la jurisprudence précitée, le demandeur a un intérêt à faire constater la validité de la police d’assurance complémentaire, laquelle peut fonder une obligation de prester de la défenderesse. L’action en constatation de droit est partant recevable.</w:t>
      </w:r>
    </w:p>
    <w:p>
      <w:r>
        <w:rPr>
          <w:b/>
        </w:rPr>
        <w:t>E. 5</w:t>
      </w:r>
    </w:p>
    <w:p>
      <w:r>
        <w:t>L’objet du litige consiste à déterminer si la défenderesse a valablement résilié, pour cause de réticence, le contrat d’assurance liant les parties. Il convient de préciser, à titre liminaire, que la chambre de céans a déjà jugé que le traitement des données médicales sensibles par la défenderesse n’avait pas porté une atteinte illicite à la personnalité du demandeur, de sorte que de telles données pouvaient être prises en considération dans la présente procédure (ATAS/1101/2020 du 17 novembre 2020). Il n’y a pas lieu d’y revenir.</w:t>
      </w:r>
    </w:p>
    <w:p>
      <w:r>
        <w:rPr>
          <w:b/>
        </w:rPr>
        <w:t>E. 6</w:t>
      </w:r>
    </w:p>
    <w:p>
      <w:r>
        <w:t>Le demandeur soutient en premier lieu que la résiliation ne serait pas valable puisqu’elle a été formée par « Helsana Assurances SA » alors que la police d’assurance avait été établie par la défenderesse. Or, en l’absence de procuration, Helsana assurances SA ne pouvait pas valablement représenter la défenderesse.</w:t>
      </w:r>
    </w:p>
    <w:p>
      <w:r>
        <w:rPr>
          <w:b/>
        </w:rPr>
        <w:t>E. 6.1</w:t>
      </w:r>
    </w:p>
    <w:p>
      <w:r>
        <w:t>Selon l’art. 6 al. 1 LCA, si celui qui avait l’obligation de déclarer a, lors de la conclusion du contrat, omis de déclarer ou inexactement déclaré un fait important qu’il connaissait ou devait connaître (réticence), et sur lequel il a été questionné par écrit, l’assureur est en droit de résilier le contrat ; il doit le faire par écrit. La résiliation prend effet lorsqu’elle parvient au preneur d’assurance.</w:t>
      </w:r>
    </w:p>
    <w:p>
      <w:r>
        <w:t>A/2489/2020 - 11/19 - La volonté d'une personne morale s'exprime par ses organes (par imputation à la personne morale des actes de l'organe ; art. 55 al. 1-2 CC ; ATF 146 III 37 consid. 5.1) ou par des représentants civils au sens des art. 32 ss CO (ATF 146 III 37 consid. 5.3). Selon le système des art. 32 ss CO, lorsque le représentant qui conclut le contrat manifeste agir au nom du représenté, le représenté est lié dans trois cas de figure : (1) lorsque le représenté avait conféré les pouvoirs nécessaires au représentant dans leurs rapports internes (procuration interne ; art. 32 al. 1 CO ; arrêt 4A_562/2019 du 10 juillet 2020 consid. 5) ; (2) en l'absence de pouvoirs internes conférés au représentant par le représenté, lorsque le tiers pouvait déduire l'existence de tels pouvoirs du comportement du représenté dans leurs rapports externes (procuration apparente ; art. 33 al. 3 CO ; arrêt 4A_562/2019 précité consid. 6) ; et (3) en l'absence de pouvoirs internes conférés au représentant par le représenté, lorsque celui-ci a ratifié le contrat (art. 38 al. 1 CO) (ATF 146 III 37 consid. 7.1 p. 45 ; ATF 131 III 511 consid. 3.1, p. 517 ; ATF 120 II 197 consid. 2, p. 198 in initio ; arrêt 4A_562/2019 précité consid.4). En vertu de l'art. 38 CO, lorsqu’une personne contracte sans pouvoirs au nom d’un tiers, celui-ci ne devient créancier ou débiteur que s’il ratifie le contrat (al. 1). L’autre partie a le droit d’exiger que le représenté déclare, dans un délai convenable, s’il ratifie ou non le contrat ; elle cesse d’être liée, faute de ratification dans ce délai (al. 2). Selon la doctrine, il ne faut pas entendre « contracter » au sens étroit de conclure un contrat, mais dans le sens plus large d’accomplir des actes juridiques, ce qui inclut notamment les actes juridiques unilatéraux faits au nom d’autrui. En dehors de l’hypothèse de la fixation d’un délai par le tiers (art. 38 al. 2 CO), le droit de ratifier n’est soumis à aucun délai, sous réserve d’une limitation dans le temps résultant de la nature de l’affaire ou de la déchéance du droit en raison de l’inaction du représenté (Christine CHAPPUIS, Commentaire romand, Code des obligations I, 2ème éd. 2012, n. 3 ad art. 38 CO). Cet acte juridique unilatéral formateur n'est en principe soumis à aucune forme et peut donc être exprès ou résulter d'actes concluants (ATF 128 III 129 consid. 2b-c).</w:t>
      </w:r>
    </w:p>
    <w:p>
      <w:r>
        <w:rPr>
          <w:b/>
        </w:rPr>
        <w:t>E. 6.2</w:t>
      </w:r>
    </w:p>
    <w:p>
      <w:r>
        <w:t>En l’occurrence, il n’est pas contesté que le courrier de résiliation du 12 août 2019 a été rédigé sur papier en-tête de la société « Helsana Assurances SA » et signé par des employés du « Support Service Clientèle » de ladite société. Or, ainsi que l'a relevé la défenderesse, la volonté de représenter l'intéressée ressort sans ambiguïté de ce courrier de résiliation puisqu’il mentionne expressément qu’il porte sur l’assurance complémentaire COMPLETA. Il convient donc d’admettre que la défenderesse, dans son écriture du 8 mars 2021, a valablement ratifié la résiliation en répondant à la demande devant la chambre de céans.</w:t>
      </w:r>
    </w:p>
    <w:p>
      <w:r>
        <w:t>A/2489/2020 - 12/19 -</w:t>
      </w:r>
    </w:p>
    <w:p>
      <w:r>
        <w:rPr>
          <w:b/>
        </w:rPr>
        <w:t>E. 7</w:t>
      </w:r>
    </w:p>
    <w:p>
      <w:r>
        <w:t>Reste à voir si le demandeur a commis une réticence justifiant la résiliation du contrat d’assurance.</w:t>
      </w:r>
    </w:p>
    <w:p>
      <w:r>
        <w:rPr>
          <w:b/>
        </w:rPr>
        <w:t>E. 7.1.1</w:t>
      </w:r>
    </w:p>
    <w:p>
      <w:r>
        <w:t>La réticence se définit comme l'omission de déclarer ou le fait de déclarer inexactement, lors de la conclusion du contrat, un fait important que celui ayant l'obligation de déclarer connaissait ou devait connaître (art. 6 al. 1 LCA). La notion renvoie aux déclarations obligatoires au sens de l'art. 4 LCA. Selon l'al. 1 de cette disposition, celui qui présente une proposition d'assurance doit déclarer par écrit à l'assureur, suivant un questionnaire ou en réponse à toutes autres questions écrites, tous les faits qui sont importants pour l'appréciation du risque, tels qu'ils lui sont ou doivent lui être connus lors de la conclusion du contrat. La question posée par l'assureur doit être rédigée de manière précise et non équivoque (art. 4 al. 3 LCA ; ATF 136 III 334 consid. 2.3, p. 336; ATF 134 III 511 consid. 3.3.4, p. 515). Le proposant doit répondre de manière véridique aux questions telles qu'il peut les comprendre de bonne foi ; il n'y a pas de réponse inexacte si la question est ambiguë, de telle sorte que la réponse donnée apparaît véridique selon la manière dont la question pouvait être comprise de bonne foi par le proposant (ATF 136 III 334 consid. 2.3, p. 336 ss.). Pour qu'il y ait réticence, il faut, d'un point de vue objectif, que la réponse donnée à la question ne soit pas conforme à la vérité, par omission ou inexactitude ; la réticence peut consister à affirmer un fait faux, à taire un fait vrai ou à présenter une vision déformée de la vérité (ATF 136 III 334 consid. 2.3, p. 337). D'un point de vue subjectif, la réticence suppose que le proposant connaissait ou aurait dû connaître la vérité. Le proposant doit déclarer non seulement les faits qui lui sont connus sans autre réflexion, mais aussi ceux qui ne peuvent lui échapper s'il réfléchit sérieusement à la question posée (ATF 136 III 334 consid. 2.3, p. 337 ; ATF 134 III 511 consid. 3.3.3, p. 514). Il faut en plus que la réponse inexacte porte sur un fait important pour l'appréciation du risque (art. 4 al. 1 et art. 6 al. 1 LCA). Sont importants tous les faits de nature à influer sur la détermination de l'assureur de conclure le contrat ou de le conclure aux conditions convenues (art. 4 al. 2 LCA). L'art. 4 al. 3 LCA présume que le fait est important s'il a fait l'objet d'une question écrite de l'assureur, précise et non équivoque. Il s'agit toutefois d'une présomption susceptible d'être renversée. S'il n'appartient pas au proposant de déterminer - à la place de l'assureur - quels sont les éléments pertinents pour apprécier le risque, il n'en demeure pas moins que la présomption sera renversée si le proposant a omis un fait qui, considéré objectivement, apparaît totalement insignifiant. Ainsi, la jurisprudence a admis que celui qui tait des indispositions sporadiques qu'il pouvait raisonnablement et de bonne foi considérer comme sans importance et passagères, sans devoir les tenir pour une cause de rechutes ou des symptômes d'une maladie imminente aiguë, ne viole pas son devoir de renseigner</w:t>
      </w:r>
    </w:p>
    <w:p>
      <w:r>
        <w:t>A/2489/2020 - 13/19 - (ATF 136 III 334 consid. 2.4, p. 337 ss et les arrêts cités ; ATF 134 III 511 consid. 3.3.4, p. 515). En cas de réticence, l'assureur est en droit de résilier le contrat (art. 6 al. 1 LCA) ; s'il exerce ce droit, il est autorisé à refuser également sa prestation pour les sinistres déjà survenus, si le fait qui a été l'objet de la réticence a influé sur leur survenance ou leur étendue (art. 6 al. 3 LCA). L'existence d'un lien de causalité entre le fait passé sous silence ou inexactement déclaré et le sinistre déjà survenu influe uniquement sur l'obligation de l'assureur d'accorder sa prestation à la suite d'une réticence, mais pas sur la validité de la résiliation du contrat en tant que tel, réglée à l'art. 6 al. 1 LCA (ATF 138 III 416 consid. 6). Le droit de résiliation s'éteint quatre semaines après que l'assureur a eu connaissance de la réticence (art. 6 al. 2 LCA).</w:t>
      </w:r>
    </w:p>
    <w:p>
      <w:r>
        <w:rPr>
          <w:b/>
        </w:rPr>
        <w:t>E. 7.1.2</w:t>
      </w:r>
    </w:p>
    <w:p>
      <w:r>
        <w:t>Dans un arrêt du 13 janvier 2015, le Tribunal fédéral a été saisi de la question de savoir si le diagnostic d'hypertrophie prostatique était un fait important au sens des dispositions précitées. Se fondant sur l'appréciation médicale de l'urologue traitant du recourant, il a retenu qu'il ne s'agissait effectivement pas d'une atteinte maligne qui mettrait en jeu le pronostic vital. L'hypertrophie prostatique pouvait néanmoins entraver l'écoulement de la vessie et exiger un traitement médical, voir une intervention chirurgicale. Nonobstant son caractère en soi bénin, elle était susceptible d'entraîner des coûts médicaux et pouvait, partant, influer sur la décision de l'assureur de conclure une assurance à des conditions données. Le Tribunal fédéral a rappelé qu'il n'existait pas de droit à conclure une assurance complémentaire indépendamment de l'état de santé. Lorsque l'assureur concluait une assurance avec un homme, il acceptait le risque de devoir fournir des prestations pour le cas où cet homme devrait ultérieurement développer une hypertrophie prostatique nécessitant un traitement. C'était un risque très général qui existait pour de nombreuses autres maladies et qui pouvait être pris en compte par l'assureur lorsqu'il calculait ses primes. Le risque que l'assureur prenait était bien plus important lorsqu'il assurait un homme qui, comme le recourant, avait déjà dû être traité pour cette affection et s'était vu prescrire un médicament, ne serait-ce à titre préventif. Peu importait par ailleurs l'absence de signes dont on aurait pu inférer la nécessité d'une intervention chirurgicale peu après la conclusion du contrat. Les réponses servaient à évaluer les risques, cas échéant à en exclure certains, et pas uniquement à éviter des dépenses futures plus ou moins certaines (arrêt du Tribunal fédéral 4A_577/2014 du 13 janvier 2015 consid. 1).</w:t>
      </w:r>
    </w:p>
    <w:p>
      <w:r>
        <w:rPr>
          <w:b/>
        </w:rPr>
        <w:t>E. 7.2</w:t>
      </w:r>
    </w:p>
    <w:p>
      <w:r>
        <w:t>La procédure simplifiée s'applique aux litiges portant sur des assurances complémentaires à l’assurance-maladie sociale au sens de la LAMal (art. 243 al. 2 let. f CPC) et la chambre de céans établit les faits d'office (art. 247 al. 2 let. a CPC).</w:t>
      </w:r>
    </w:p>
    <w:p>
      <w:r>
        <w:t>A/2489/2020 - 14/19 -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La maxime inquisitoire sociale ne modifie pas la répartition du fardeau de la preuve (arrêt du Tribunal fédéral 4C.185/2003 du 14 octobre 2003 consid. 2.1). Pour toutes les prétentions fondées sur le droit civil fédéral, l'art. 8 du Code civil suisse, du 10 décembre 1907 (CC ; RS 210), en l'absence de règles contraires, répartit le fardeau de la preuve et détermine, sur cette base, laquelle des parties doit assumer les conséquences de l'échec de la preuve (ATF 133 III 323 consid. 4.1 non publié ; ATF 130 III 321 consid. 3.1 ; ATF 129 III 18 consid. 2.6 ; ATF 127 III 519 consid. 2a). Cette disposition ne prescrit cependant pas quelles sont les mesures probatoires qui doivent être ordonnées (cf. ATF 122 III 219 consid. 3c ; ATF 119 III 60 consid. 2c). Elle n'empêche pas le juge de refuser une mesure probatoire par une appréciation anticipée des preuves (ATF 121 V 150 consid. 5a). L'art. 8 CC ne dicte pas comment le juge peut forger sa conviction (ATF 122 III 219 consid. 3c ; ATF 119 III 60 consid. 2c ; ATF 118 II 142 consid. 3a). En tant que règle sur le fardeau de la preuve, il ne s'applique que si le juge, à l'issue de l'appréciation des preuves, ne parvient pas à se forger une conviction dans un sens positif ou négatif (ATF 132 III 626 consid. 3.4 et ATF 128 III 271 consid. 2b/aa). Ainsi, lorsque l'appréciation des preuves le convainc de la réalité ou de l'inexistence d'un fait, la question de la répartition du fardeau de la preuve ne se pose plus (ATF 128 III 271 consid. 2b/aa). En vertu de l'art. 8 CC, chaque partie doit, si la loi ne prescrit le contraire, prouver les faits qu'elle allègue pour en déduire son droit. En conséquence, la partie qui fait valoir un droit doit prouver les faits fondant ce dernier, tandis que le fardeau de la preuve relatif aux faits supprimant le droit, respectivement l’empêchant, incombe à la partie, qui affirme la perte du droit ou qui conteste son existence ou son étendue. Cette règle de base peut être remplacée par des dispositions légales de fardeau de la preuve divergentes et doit être concrétisée dans des cas particuliers (ATF 128 III 271 consid. 2a/aa avec références). Ces principes sont</w:t>
      </w:r>
    </w:p>
    <w:p>
      <w:r>
        <w:t>A/2489/2020 - 15/19 - également applicables dans le domaine du contrat d'assurance (ATF 130 III 321 consid. 3.1). En principe, un fait est tenu pour établi lorsque le juge a pu se convaincre de la vérité d'une allégation. La loi, la doctrine et la jurisprudence ont apporté des exceptions à cette règle d'appréciation des preuves. L'allégement de la preuve est alors justifié par un « état de nécessité en matière de preuve » (Beweisnot), qui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(ATF 132 III 715 consid. 3.1 ; ATF 130 III 321 consid. 3.2). Tel peut être le cas de la survenance d'un sinistre en matière d'assurance-vol (ATF 130 III 321 consid. 3.2) ou de l'existence d'un lien de causalité naturelle, respectivement hypothétique (ATF 132 III 715 consid. 3.2). Le degré de preuve requis se limite alors à la vraisemblance prépondérante (die überwiegende Wahrscheinlichkeit), qui est soumise à des exigences plus élevées que la simple vraisemblance (die Glaubhaftmachung). La vraisemblance prépondérante suppose que, d'un point de vue objectif, des motifs importants plaident pour l'exactitude d'une allégation, sans que d'autres possibilités ou hypothèses envisageables ne revêtent une importance significative ou n'entrent raisonnablement en considération (ATF 133 III 81 consid. 4.2.2 ; ATF 132 III 715 consid. 3.1 ; ATF 130 III 321 consid. 3.3).</w:t>
      </w:r>
    </w:p>
    <w:p>
      <w:r>
        <w:rPr>
          <w:b/>
        </w:rPr>
        <w:t>E. 7.3</w:t>
      </w:r>
    </w:p>
    <w:p>
      <w:r>
        <w:t>En l'espèce, il ressort du dossier les faits pertinents suivants. En 2005, le demandeur a commencé un suivi urologique à la suite d'un épisode d'hématospermie qui s'est très vite résolu. Depuis environ 2016, il est suivi par le Dr F______, urologue, en raison d'une consultation par année. Lors d'une consultation annuelle, le Dr F______ a posé le diagnostic d'hypertrophie bénigne de la prostate. Ce diagnostic a été posé avant août 2017, étant précisé qu'un début d'hypertrophie asymptomatique avait déjà été constaté en 2015 (cf. audition de la Dresse C______ du 3 septembre 2021). Le demandeur ne présentait toutefois aucune gêne, ni symptôme en lien avec ce diagnostic et son urologue traitant ne lui a jamais prescrit de traitement en lien avec ce diagnostic. En juillet 2017, le demandeur a présenté une hématospermie de la prostate, se manifestant par la présence de sang dans le sperme. Il a alors consulté le Dr F______. Ce dernier lui a indiqué que pour écarter tout risque de cancer de la prostate, il était nécessaire de procéder à une IRM. Le médecin a donc adressé son patient à la Dresse D______ pour la réalisation d'une IRM, qui, selon un rapport rendu le 16 août 2017, a révélé un résultat négatif. À la suite de ce résultat, le Dr F______ a informé son patient que dans la mesure où le diagnostic de cancer était écarté, le sang dans le sperme était un cas tout à fait banal, dû à la rupture d'un vaisseau sanguin. Le 20 octobre 2017, le demandeur a consulté le Dr E______, gastroentérologue, en vue de procéder à une coloscopie. À cette occasion, le médecin lui a indiqué</w:t>
      </w:r>
    </w:p>
    <w:p>
      <w:r>
        <w:t>A/2489/2020 - 16/19 - qu'il souhaitait faire un bilan général et lui a prescrit une analyse de sang. Lors d'une consultation du 31 octobre 2017, le Dr E______ a indiqué au demandeur qu'il avait constaté une inflammation superficielle de l'anus et qu'il souhaitait procéder à un traitement pour réduire l'inflammation avant d'effectuer la coloscopie. La coloscopie avait finalement été réalisée par le Dr G______ deux mois après, étant précisé que, selon la médecin traitante du demandeur, la coloscopie était nécessaire car cinq ans s'étaient écoulés et il était important de déterminer s'il y avait un polype (cf. audition de la Dresse C______ du 3 septembre 2021). Le 1er novembre 2017, l'assuré a rempli le questionnaire de santé de la défenderesse, en répondant « non » aux questions 2a, 2b et 3.</w:t>
      </w:r>
    </w:p>
    <w:p>
      <w:r>
        <w:rPr>
          <w:b/>
        </w:rPr>
        <w:t>E. 7.4.1</w:t>
      </w:r>
    </w:p>
    <w:p>
      <w:r>
        <w:t>Il ressort des éléments qui précèdent que le demandeur n'a pas répondu correctement au questionnaire de santé. Il n'est pas contesté que le diagnostic d'hypertrophie bénigne de la prostate a été posé avant que le demandeur ne remplisse le questionnaire de santé et que ce dernier en avait connaissance. Il n'est pas non plus contesté que le demandeur était suivi par un urologue, notamment pour un contrôle régulier de l'hypertrophie bénigne de la prostate. Dans ces conditions, le demandeur ne pouvait pas répondre négativement à la question « êtes-vous actuellement traité(e) ou suivi(e) par un médecin, dentiste, naturopathe, thérapeute, etc. ou cela est-il prévu ? ». Il est vrai que le questionnaire est imprécis en tant qu'il pose la question de savoir si l'assuré est ou non « guéri sans suite », ce qui pourrait paraître incompatible avec le caractère « bénin » de l'hypertrophie. Il n’en reste pas moins que la question principale ne laisse place à aucun doute et le demandeur ne pouvait pas de bonne foi répondre « non ». Le demandeur aurait également dû préciser tant le diagnostic que le nom du médecin traitant dans les lignes prévues à cet effet, quitte à laisser sans réponse les questions relatives à la date du dernier traitement et à la guérison de l'affection. S'ajoute à cela que la veille de la signature du questionnaire de santé, le demandeur avait été reçu en consultation par le Dr E______, gastroentérologue, lequel lui avait annoncé qu'il souhaitait procéder à un traitement pour réduire une inflammation dans l'anus. Le médecin avait par ailleurs sollicité des analyses sanguines une semaine auparavant. Malgré cela, le demandeur a nié être suivi par un médecin (question 2a) et a répondu négativement à la question de savoir si des examens médicaux avaient été recommandés (question 2b). On relèvera également que la consultation chez le Dr E______ visait la réalisation d'une coloscopie, qui a finalement été effectuée deux mois après par le Dr G______, étant précisé qu'un tel examen était nécessaire selon la médecin traitante du demandeur. Or, malgré cela, le demandeur n'a pas non plus mentionné cet examen à la question 2b.</w:t>
      </w:r>
    </w:p>
    <w:p>
      <w:r>
        <w:t>A/2489/2020 - 17/19 - Enfin, dans la mesure où le demandeur avait subi une IRM en août 2017, soit moins de deux mois avant de remplir le questionnaire de santé, le 1er novembre 2017, il ne pouvait pas répondre à la négative à la question « au cours des cinq dernières années, avez-vous suivi un traitement/contrôle/examen ambulatoire ou stationnaire dispensé par un médecin/dentiste/naturopathe/ thérapeute? ». L'IRM avait été dispensée par suite de symptômes survenus en juillet 2017 (sang dans le sperme). Par le fait même que ces symptômes déterminaient le demandeur à consulter un spécialiste, ils constituaient indéniablement un « examen dispensé par un médecin » visé par la question. À cet égard, le demandeur ne saurait être suivi lorsqu'il allègue que cette question visait uniquement les maladies ou affections et que, dans son cas, l'IRM n'en avait révélé aucune. Force est en effet de constater que la liste des maladies et affections ne figure qu'à titre exemplatif. À cela s'ajoute que, dans la question suivante, l'assuré est tenu de préciser le « genre de maladie/affection (diagnostic), de douleurs ou résultat/motif du traitement/contrôle/examen ». Le demandeur devait ainsi se rendre compte, à l'instar de toute personne normalement capable de discernement, que le résultat de l'IRM, réalisée moins de deux mois auparavant, aurait dû être mentionné. Le fait que le questionnaire de santé pose la question de savoir si l'assuré est ou non « guéri sans suite » ne modifie pas cette appréciation. Rien n'empêchait le demandeur de laisser cette section vide, compte tenu du résultat de l'IRM. Il ne pouvait, en tous les cas, pas en déduire que l'IRM n'avait pas à être mentionnée. Il convient donc d'en conclure que les réponses données par le demandeur ne correspondaient pas à la réalité.</w:t>
      </w:r>
    </w:p>
    <w:p>
      <w:r>
        <w:rPr>
          <w:b/>
        </w:rPr>
        <w:t>E. 7.4.2</w:t>
      </w:r>
    </w:p>
    <w:p>
      <w:r>
        <w:t>Le demandeur objecte que ces éléments n'étaient pas importants. Concernant l'hypertrophie bénigne de la prostate, il s'agissait d'une évolution physiologique tellement courante chez les hommes de son âge qu'il était invraisemblable qu'elle puisse à elle seule mener à un refus d'assurance. De plus, dans la mesure où le caractère bénin et asymptomatique était d'ores et déjà établi et le risque de cancer écarté, il ne s'agissait manifestement pas d'un fait important qui aurait influencé l'appréciation du risque. Au contraire, les résultats des examens avaient permis d'écarter un risque de maladie prévalant chez les hommes de son âge. Cet élément n'aurait donc pu que conforter l'assureur dans son choix d'assurer le demandeur. Ce raisonnement ne saurait être suivi. Ainsi qu'il ressort de l'avis médical de la Dresse H______, si l'hypertrophie bénigne de la prostate n'est pas associée à un risque accru de cancer, elle s'accompagne volontiers de symptômes mictionnels et érectiles présents chez plus de 50 % des hommes de 40 à 70 ans. L'impact de ces symptômes sur la qualité de vie est largement décrit avec un sommeil perturbé, un stress important (impuissance, incontinence) et une perte d'estime de soi (cf. avis médical de la Dresse H______ du 23 février 2021). La chambre de céans relève à cet égard que, contrairement à ce que soutient le demandeur, le fait que la médecin précitée ne serait pas titulaire d'une spécialisation en urologie ou gastro-</w:t>
      </w:r>
    </w:p>
    <w:p>
      <w:r>
        <w:t>A/2489/2020 - 18/19 - entérologie, ne justifie pas d'écarter son avis. On ne voit en effet pas en quoi un médecin, quelle que soit sa spécialisation, ne serait pas en mesure de donner un avis circonstancié sur les risques médicaux associés à un diagnostic. La médecin- conseil du demandeur a du reste confirmé l'appréciation de la Dresse H______ en audience, précisant que les risques décrits par la précitée pouvaient se concrétiser en cas d'hypertrophie bénigne de la prostate, mais que ce n'était pas le cas du demandeur. Or, le fait même que l'hypertrophie bénigne de la prostate est susceptible d'entraîner des coûts médicaux, même si le risque ne s'est pas encore concrétisé, peut influer sur la décision de l'assureur de conclure une assurance à des conditions données. Le fait que l'hypertrophie prostatique est répandue chez les personnes âgées n'y change rien. Le risque que l'assureur prend est bien plus important lorsqu'il assure un homme qui, comme le demandeur, a déjà développé cette affection. Ainsi que l'a souligné le Tribunal fédéral dans un cas similaire, le recourant ne peut pas se prévaloir du risque général de développer une hypertrophie prostatique pour dénier toute pertinence à l'hypertrophie prostatique qu'il a déjà développée, et cela quand bien même il n'a jamais été traité pour cette affection. Les réponses aux questions servent à évaluer les risques, cas échéant à en exclure certains, et pas uniquement à éviter des dépenses futures plus ou moins certaines (arrêt 4A_577/2014 précité, consid. 1). Ainsi, en ne mentionnant pas, dans le questionnaire de santé, le suivi urologique lié au diagnostic d'hypertrophie bénigne de la prostate (question 2a), le demandeur a commis une réticence, de sorte que la défenderesse était en droit de résilier le contrat d'assurance complémentaire avec effet au 31 août 2019. Cela scelle le sort du litige, sans qu'il y ait lieu de déterminer si les autres causes de réticence soulevées par la défenderesse (soit l'hématospermie intermittente et l'intolérance au lactose) étaient des éléments importants au sens de la jurisprudence précitée.</w:t>
      </w:r>
    </w:p>
    <w:p>
      <w:r>
        <w:rPr>
          <w:b/>
        </w:rPr>
        <w:t>E. 7.5</w:t>
      </w:r>
    </w:p>
    <w:p>
      <w:r>
        <w:t>Pour le reste, il n'est pas contesté que la défenderesse a résilié le contrat par pli du 12 août 2019, soit dans le délai de quatre semaines à compter de la découverte des motifs de réticence (cf. le courrier de la Dresse C______ du 30 juillet 2019). Il convient enfin de relever que la défenderesse a pris en charge les coûts de traitement de psychothérapie du 6 février 2019 au 22 mars 2019, de sorte que la question du lien de causalité entre ces frais et le fait qui a été l'objet de la réticence ne se pose pas (art. 6 al. 3 LCA).</w:t>
      </w:r>
    </w:p>
    <w:p>
      <w:r>
        <w:rPr>
          <w:b/>
        </w:rPr>
        <w:t>E. 8</w:t>
      </w:r>
    </w:p>
    <w:p>
      <w:r>
        <w:t>La présente demande doit donc être rejetée. Pour le surplus, il n’est pas alloué de dépens à la défenderesse, à la charge du demandeur (art. 22 al. 3 let. b de la loi d’application du Code civil suisse et d’autres lois fédérales en matière civile du 11 octobre 2012 [LaCC - E 1 05]) ni perçu de frais judiciaires (art. 114 let. e CPC et 22 al. 3 let. b LaCC). * * * * * *</w:t>
      </w:r>
    </w:p>
    <w:p>
      <w:r>
        <w:t>A/2489/2020 - 19/19 -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