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ATAS/121/2018 vom 12. Februar 2018</w:t>
      </w:r>
    </w:p>
    <w:p>
      <w:r>
        <w:t>GE Cour de justice, 2018-02-12, FR</w:t>
      </w:r>
    </w:p>
    <w:p>
      <w:r>
        <w:rPr>
          <w:b/>
        </w:rPr>
        <w:t xml:space="preserve">Quelle: </w:t>
      </w:r>
      <w:r>
        <w:t>https://mcp.opencaselaw.ch/entscheid/ge_gerichte_ATAS_121_2018</w:t>
      </w:r>
    </w:p>
    <w:p>
      <w:r>
        <w:t>FR: GE_GERICHTE ATAS/121/2018 du 12 février 2018</w:t>
      </w:r>
    </w:p>
    <w:p>
      <w:r>
        <w:t>IT: GE_GERICHTE ATAS/121/2018 del 12 febbraio 2018</w:t>
      </w:r>
    </w:p>
    <w:p>
      <w:pPr>
        <w:pStyle w:val="Heading2"/>
      </w:pPr>
      <w:r>
        <w:t>Erwägungen</w:t>
      </w:r>
    </w:p>
    <w:p>
      <w:r>
        <w:rPr>
          <w:b/>
        </w:rPr>
        <w:t>E. 1</w:t>
      </w:r>
    </w:p>
    <w:p>
      <w:r>
        <w:t>Au 1er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 Le jugement de divorce ayant été rendu avant l'entrée en vigueur, le 1er janvier 2017, des nouvelles dispositions relatives au partage de la prévoyance professionnelle en cas de divorce, la chambre de céans applique les dispositions légales dans leur ancienne teneur (art. 7d Tit. fin. CC).</w:t>
      </w:r>
    </w:p>
    <w:p>
      <w:r>
        <w:rPr>
          <w:b/>
        </w:rPr>
        <w:t>E. 2</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3</w:t>
      </w:r>
    </w:p>
    <w:p>
      <w:r>
        <w:t>Selon l'art. 22 al. 1 LFLP (nouvelle teneur en vigueur depuis le 1er janvier 2011), en cas de divorce, les prestations de sortie acquises durant le mariage sont partagées conformément aux art. 122 et 123 CC et aux art. 280 et 281 CPC ; les art. 3 à</w:t>
      </w:r>
    </w:p>
    <w:p>
      <w:r>
        <w:rPr>
          <w:b/>
        </w:rPr>
        <w:t>E. 5</w:t>
      </w:r>
    </w:p>
    <w:p>
      <w:r>
        <w:t>En l’espèce, le juge de première instance a ordonné le partage par moitié des prestations de sortie acquises durant le mariage par les demandeurs. Les dates pertinentes sont, d’une part, celle du mariage, le 6 juillet1996, d’autre part le 21 mai 2016, date à laquelle le divorce est devenu exécutoire.</w:t>
      </w:r>
    </w:p>
    <w:p>
      <w:r>
        <w:rPr>
          <w:b/>
        </w:rPr>
        <w:t>E. 6</w:t>
      </w:r>
    </w:p>
    <w:p>
      <w:r>
        <w:t>Selon les documents produits, la prestation acquise pendant le mariage par le demandeur est de CHF 521'999.25 tandis que celle acquise par la demanderesse est de CHF 104'902.20, les intérêts ayant déjà été calculés par les institutions de prévoyance défenderesses. Ainsi le demandeur doit à son ex-épouse le montant de CHF 260'999.62 (CHF 521'999.25 : 2) et celle-ci doit à celui-là le montant de CHF 52'451.10 (CHF 104'902.20 : 2), de sorte que c’est le demandeur qui doit à la demanderesse le montant de CHF 208'548.52.</w:t>
      </w:r>
    </w:p>
    <w:p>
      <w:r>
        <w:rPr>
          <w:b/>
        </w:rPr>
        <w:t>E. 7</w:t>
      </w:r>
    </w:p>
    <w:p>
      <w:r>
        <w:t>a. Selon la jurisprudence, en cas de partage de la prestation de sortie en cas de divorce, des intérêts compensatoires sont dus sur le montant à transférer (au sens de l'art. 22 LFLP) pour la période courant depuis le moment du divorce jusqu'au moment du transfert. Le taux d'intérêt compensatoire doit, s'agissant de l'avoir de prévoyance obligatoire, correspondre au taux minimal fixé à l'art. 12 OPP 2 (auquel renvoient les art. 26 al. 3 LFLP, dans sa teneur en vigueur jusqu'au 31 décembre 2016, et art. 8a al. 1 OLP); si le règlement de l'institution de prévoyance prévoit un taux d'intérêt supérieur pour l'avoir de vieillesse, ce taux est alors applicable. Pour la part surobligatoire, le taux d'intérêt applicable à l'avoir de prévoyance surobligatoire est fixé librement par l'institution de prévoyance et peut être inférieur au taux minimal fixé par la LPP. Si le règlement ne fixe aucun taux d'intérêt, il se justifie d'appliquer à titre subsidiaire le taux d'intérêt minimal selon l'art. 12 OPP 2 (ATF 129 V 251 consid. 4 p. 257; cf. aussi arrêt 9C_227/2009 du 25 septembre 2009, in SVR 2010 BVG n° 4 p. 12). Ces modalités de la fixation des intérêts compensatoires sont fondées sur le principe du calcul continu des intérêts (ou de la rémunération continue) déduit de l'art. 2 al. 3 LFLP, selon lequel dès son exigibilité la prestation de sortie est créditée des</w:t>
      </w:r>
    </w:p>
    <w:p>
      <w:r>
        <w:t>A/3726/2016 6/7 intérêts prévus à l'art. 15 al. 2 LPP; le droit, sans discontinuité, à des intérêts compensatoires sur l'avoir de prévoyance garantit le maintien de la prévoyance. Cela vaut également lorsque, pour des motifs imputables au déroulement de la procédure, le partage des prestations de sortie en cas de divorce ou sa mise à exécution intervient avec du retard. Il serait aussi contraire au principe de la préservation et du maintien de la couverture de prévoyance si l'institution de prévoyance effectuait des placements ou réalisait des profits avec l'avoir qui revient à la personne divorcée par compensation des expectatives de prévoyance, entre le moment du divorce et le transfert de la prestation de sortie, ou que l'autre conjoint divorcé puisse profiter seul des intérêts sur l'ensemble de son avoir de vieillesse (ATF 129 V 251 consid. 3.2 p. 256) (arrêt du Tribunal fédéral 9C 149/2017 consid. 5.1). b. Si l'institution de prévoyance ne transfère pas la prestation échue dans les trente jours après avoir reçu toutes les informations nécessaires (notamment concernant l'affectation de la prestation de sortie), elle est tenue de verser un intérêt moratoire. Le calcul de l'intérêt moratoire se fait sur le montant de la prestation de sortie au moment où débute l'obligation de verser un intérêt moratoire pour l'institution de prévoyance en demeure de transférer celle-ci, et tient compte des intérêts compensatoires réglementaires ou légaux dus à ce moment-là. Ceux-ci ne doivent pas être cumulés avec les intérêts moratoires, dès lors qu'ils poursuivent le même but, soit le maintien de la prévoyance (ATF 129 V 251 consid. 4.2.3 p. 258; voir également arrêt B 36/02 du 18 juillet 2003 consid. 3.2, in RSAS 2004 p. 376). Le taux de l'intérêt moratoire correspond, selon l'art. 7 OLP, au taux d'intérêt minimal fixé dans la LPP, augmenté de 1 % (art. 7 OLP en corrélation avec les art. 1 al. 2, 2 al. 4 et 26 al. 2 LFLP, 12 OPP 2 et 15 al. 2 LPP) (ATF 9C 540/2010).</w:t>
      </w:r>
    </w:p>
    <w:p>
      <w:r>
        <w:rPr>
          <w:b/>
        </w:rPr>
        <w:t>E. 8</w:t>
      </w:r>
    </w:p>
    <w:p>
      <w:r>
        <w:t>Aucun émolument ne sera perçu, la procédure étant gratuite (art. 73 al. 2 LPP et 89H al. 1 de la loi sur la procédure administrative du 12 septembre 1985).</w:t>
      </w:r>
    </w:p>
    <w:p>
      <w:r>
        <w:t>***</w:t>
      </w:r>
    </w:p>
    <w:p>
      <w:r>
        <w:t>A/3726/2016 7/7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