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ATAS/121/2016 vom 16. Februar 2016</w:t>
      </w:r>
    </w:p>
    <w:p>
      <w:r>
        <w:t>GE Cour de justice, 2016-02-16, FR</w:t>
      </w:r>
    </w:p>
    <w:p>
      <w:r>
        <w:rPr>
          <w:b/>
        </w:rPr>
        <w:t xml:space="preserve">Quelle: </w:t>
      </w:r>
      <w:r>
        <w:t>https://mcp.opencaselaw.ch/entscheid/ge_gerichte_ATAS_121_2016</w:t>
      </w:r>
    </w:p>
    <w:p>
      <w:r>
        <w:t>FR: GE_GERICHTE ATAS/121/2016 du 16 février 2016</w:t>
      </w:r>
    </w:p>
    <w:p>
      <w:r>
        <w:t>IT: GE_GERICHTE ATAS/121/2016 del 16 febbraio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(art. 56ss et 38 al. 1 LPGA).</w:t>
      </w:r>
    </w:p>
    <w:p>
      <w:r>
        <w:rPr>
          <w:b/>
        </w:rPr>
        <w:t>E. 4</w:t>
      </w:r>
    </w:p>
    <w:p>
      <w:r>
        <w:t>Le litige porte sur le droit de l’assurée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A/1595/2015 - 11/19 -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Il y a lieu d'observer que selon la doctrine médicale (cf. notamment Horst DILLING / Werner MOMBOUR / Martin 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(arrêt du Tribunal fédéral des assurances I.497/04 du 12 septembre 2005 consid. 5.1).</w:t>
      </w:r>
    </w:p>
    <w:p>
      <w:r>
        <w:rPr>
          <w:b/>
        </w:rPr>
        <w:t>E. 6</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La détermination du taux d'invalidité ne saurait reposer sur la simple évaluation médico-théorique de la capacité de travail de l'assuré car cela revient à déduire de manière abstraite le degré d'invalidité de l'incapacité de travail, sans tenir compte de</w:t>
      </w:r>
    </w:p>
    <w:p>
      <w:r>
        <w:t>A/1595/2015 - 12/19 - l'incidence économique de l'atteinte à la santé (ATF 114 V 281 consid. 1c et 310 consid. 3c; RAMA 1996 n° U 237 p. 36 consid. 3b).</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reconnues, soit la méthode générale de comparaison des revenus (art. 28a al. 1 LAI en corrélation avec l'art. 16 LPGA), la méthode spécifique (art. 28a al. 2 LAI en corrélation avec les art. 27 RAI et 8 al. 3 LPGA) ou la méthode mixte (art. 28a al. 3 LAI en corrélation avec l'art. 27bis RAI, ainsi que les art. 16 LPGA et 28a al. 2 LAI en corrélation avec les art. 27 RAI et</w:t>
      </w:r>
    </w:p>
    <w:p>
      <w:r>
        <w:rPr>
          <w:b/>
        </w:rPr>
        <w:t>E. 8</w:t>
      </w:r>
    </w:p>
    <w:p>
      <w:r>
        <w:t>Pour pouvoir calculer le degré d’invalidité, l’administration (ou le juge, s’il y a eu un recours) a besoin de documents qu’un médecin, éventuellement d’autres</w:t>
      </w:r>
    </w:p>
    <w:p>
      <w:r>
        <w:t>A/1595/2015 - 13/19 -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9</w:t>
      </w:r>
    </w:p>
    <w:p>
      <w:r>
        <w:t>L’OAI a admis que l’incapacité de travail de l’assurée était entière depuis octobre 2012, mais, se fondant sur le rapport d’expertise de la Dresse D______, a considéré qu’elle avait recouvré une pleine capacité de travail à compter du 21 septembre 2013, date à laquelle a pris fin son congé maternité. L’OAI a ainsi rejeté la demande de prestations AI, au motif que l’incapacité de travail n’avait pas duré au moins une année (art. 28 al. 1 let. b LAI). L’assurée allègue quant à elle être incapable de travailler à 100% depuis octobre 2012 et conteste la valeur probante de l’expertise de la Dresse D______.</w:t>
      </w:r>
    </w:p>
    <w:p>
      <w:r>
        <w:rPr>
          <w:b/>
        </w:rPr>
        <w:t>E. 10</w:t>
      </w:r>
    </w:p>
    <w:p>
      <w:r>
        <w:t>La Dresse D______ n’a retenu, à titre de diagnostic ayant des effets sur la capacité de travail, que celui de personnalité dyssociale. Elle a écarté ceux posés par le Dr</w:t>
      </w:r>
    </w:p>
    <w:p>
      <w:r>
        <w:t>A/1595/2015 - 14/19 - B______. Elle a ainsi considéré que depuis la fin de son congé maternité le 21 septembre 2013, l’assurée ne présentait plus d’incapacité de travail d’ordre psychiatrique pour autant que ce soit dans une activité dans laquelle il n’y ait pas de risque de mise en danger de personnes vulnérables. Le pronostic de capacité de reprise professionnelle est bon et durable. En vue de la dangerosité de l’intéressée, toutefois, elle admet qu’il y a urgence à protéger au moins les enfants.</w:t>
      </w:r>
    </w:p>
    <w:p>
      <w:r>
        <w:rPr>
          <w:b/>
        </w:rPr>
        <w:t>E. 11</w:t>
      </w:r>
    </w:p>
    <w:p>
      <w:r>
        <w:t>a) La Chambre de céans s’étonne de ce que dans l’anamnèse décrite par l’experte, il ne soit pas question des troubles psychiatriques dont souffre l’assurée depuis 2007. Selon l’experte, il n’y a plus d’arrêt de travail depuis le 21 septembre 2013. Or, figurent dans le dossier de nombreux certificats attestant d’une incapacité de travail à 100%, ainsi que, notamment, le rapport du Dr B______ du 10 octobre 2013, selon lequel la capacité de travail est nulle. L’experte ne met en corrélation avec le vécu de la guerre en Bosnie aucun traumatisme spécifique, ce qui est clairement contredit, tant par les rapports du Dr B______, que par les résumés de séjour des hospitalisations en 2007. Ces trois exemples suffisent à constater que l’anamnèse est incomplète et contient des erreurs importantes. b) La Chambre de céans s’étonne également de ce que l’experte ne retienne comme plainte de la part de l’assurée que celle-ci : « tout la fait souffrir. Elle déplore de ne pas avoir sa fille cadette auprès d’elle tout en reconnaissant ne pas être en état de s’occuper d’elle ». On ne saurait en effet, à la lecture des rapports du Dr B______ notamment, considérer qu’elle ait ainsi tenu compte des plaintes de l’assurée. c) Tous les médecins depuis 2007 ont posé le diagnostic de syndrome post traumatique, à l’exception de l’experte. Le Dr B______ relève pourtant qu’elle en mentionne les symptômes dans son rapport. Elle a écarté le syndrome de stress post traumatique et le trouble dépressif, au motif que « les symptômes d’un éventuel stress post traumatique ne peuvent être reconnus chez une femme qui a travaillé près d’un an suite au traumatisme incriminé (d’ordre sexuel) et qui a entamé une grossesse aux alentours de son premier jour de mise en arrêt maladie ». Il y a toutefois lieu de constater que l’agression dont elle a été victime en juillet 2011, a conduit à un arrêt de travail jusqu’en janvier 2012. La décompensation du 7 octobre 2012 est à l’évidence en lien avec l’annonce de la grossesse concernant sa seconde fille, née le 1er juin 2013. Enfin, l’experte est la seule à parler de personnalité dyssociale. d) La Dresse D______ a retenu une capacité de travail entière depuis le 21 septembre 2013 dans une activité dans laquelle il n’y ait pas de risque de mise en danger de personnes vulnérables. La Chambre de céans doute qu’il soit possible d’envisager une activité avec une telle limitation.</w:t>
      </w:r>
    </w:p>
    <w:p>
      <w:r>
        <w:t>A/1595/2015 - 15/19 - e) Le Dr B______ reproche à l’experte de n’avoir pas pris contact avec lui. Il aurait en effet été particulièrement intéressant, vu les divergences de points de vue, que la Dresse D______ entende les explications du Dr B______ et se détermine. f) Le pronostic estimé par la Dresse D______ du 22 janvier 2014 est bon. Or, l’assurée a été incapable de travailler à 100% jusqu’au 30 novembre 2014, date à laquelle elle a pu reprendre une activité dans le cadre d’un stage à raison de deux heures par jour seulement, du 1er décembre 2014 au 28 avril 2015. Elle a ensuite été à nouveau incapable de travailler à 100%. g) L’expertise de la Dresse D______ ne satisfait ainsi pas aux exigences dégagées par le Tribunal fédéral en matière de rapports médicaux et ne peut se voir reconnaître une pleine valeur probante, de sorte qu’une instruction complémentaire se justifierait.</w:t>
      </w:r>
    </w:p>
    <w:p>
      <w:r>
        <w:rPr>
          <w:b/>
        </w:rPr>
        <w:t>E. 12</w:t>
      </w:r>
    </w:p>
    <w:p>
      <w:r>
        <w:t>Selon un rapport du centre d’évaluation professionnel PRO daté du 18 février 2015, « Nos évaluations montrent que l’assurée est actuellement éloignée du marché du travail en raison de ses difficultés physiques (épaules, avant-bras et poignets) et émotionnelles (anxiété, stress constant, épuisement). Si les observations effectuées sont positives dans le sens des aptitudes professionnelles, les limitations physiques, la fragilité émotionnelle et la fatigabilité de l’assurée, rendent impossible toute reprise d’activité ou projet d’orientation professionnelle ». Sur deux heures par jour, le rendement en temps a été estimé à 50% et le rendement en qualité à 80%. Force est de constater que l'appréciation de la capacité de travail donnée par les évaluateurs de l'entreprise PRO et celle de la Dresse D______ divergent sensiblement. Il est vrai qu’en principe,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(arrêt du Tribunal fédéral I 762/02). On ne saurait toutefois dénier toute valeur aux renseignements d'ordre professionnel recueillis à l'occasion d'un stage pratique pour apprécier la capacité résiduelle de travail de l'assuré en cause, ce d’autant moins qu’en l’espèce, les conclusions du stage correspondent à celles du Dr B______. Le Tribunal fédéral a considéré que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9C_512/2013 ; cf. également ATAS/562/2013).</w:t>
      </w:r>
    </w:p>
    <w:p>
      <w:r>
        <w:t>A/1595/2015 - 16/19 - Il convient à cet égard d’ajouter que dans un arrêt I 762/02 du 6 mai 2003, si le Tribunal fédéral avait préféré l’avis médical, c’est parce que les experts avaient eu la possibilité d’expliquer pour quelles raisons ils s’écartaient de l’estimation faite par les maîtres d’ateliers. Il importerait dans le cas d’espèce de disposer d’un avis médical sur les conclusions du rapport de l’entreprise PRO quant aux limitations effectives présentées par l’assurée, quant à sa capacité de travail et quant au type d'activité adaptée qu'elle serait, le cas échéant, à même d'exécuter.</w:t>
      </w:r>
    </w:p>
    <w:p>
      <w:r>
        <w:rPr>
          <w:b/>
        </w:rPr>
        <w:t>E. 13</w:t>
      </w:r>
    </w:p>
    <w:p>
      <w:r>
        <w:t>En l’espèce, la chambre de céans constate que le statut d’active à 50% retenu par l’OAI n’est pas contesté. L’assurée a confirmé qu’elle travaillait à raison de 25 heures par semaine comme femme de ménage dans des hôtels, la répartition de son activité fluctuante sur tous les jours de la semaine et selon les différents sites des hôtels, ne venant pas modifier le nombre d’heures de travail hebdomadaires. Il y a dès lors lieu de confirmer ce statut. Aussi convient-il d’appliquer, pour évaluer le degré d’invalidité de l’assurée, la méthode mixte conformément à l’art. 28a al. 3 LAI. Aux termes de cette disposition légale, «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 ». L’art. 28a al. 2 LAI prévoit que « l'invalidité de l'assuré qui n'exerce pas d'activité lucrative et dont on ne peut raisonnablement exiger qu'il en entreprenne une est évaluée, en dérogation à l'art. 16 LPGA, en fonction de son incapacité à accomplir ses travaux habituels ». L’art. 27 RAI précise que « par travaux habituels des assurés travaillant dans le ménage, il faut entendre notamment l'activité usuelle dans le ménage, l'éducation des enfants ainsi que toute activité artistique ou d'utilité publique ».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L'administration procède ainsi à une enquête sur les activités ménagères et fixe l'empêchement dans chacune des activités habituelles conformément aux chiffres 3095ss de la circulaire concernant l'invalidité et l'impotence de l'assurance- invalidité.</w:t>
      </w:r>
    </w:p>
    <w:p>
      <w:r>
        <w:t>A/1595/2015 - 17/19 -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En l’espèce, aucune enquête ménagère n’a été réalisée.</w:t>
      </w:r>
    </w:p>
    <w:p>
      <w:r>
        <w:rPr>
          <w:b/>
        </w:rPr>
        <w:t>E. 14</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15</w:t>
      </w:r>
    </w:p>
    <w:p>
      <w:r>
        <w:t>Force est de constater, au vu de ce qui précède, que le dossier n’est pas en état d’être jugé. En effet, il s’avère que l’expertise de la Dresse D______ n’a pas valeur probante, d’une part, et qu’aucune enquête ménagère ne figure au dossier, d’autre part. Il se justifie dès lors de renvoyer la cause à l’OAI afin qu’il ordonne un complément d’instruction sous la forme d’une expertise psychiatrique. L’avis de l’expert sera notamment sollicité sur les conclusions du rapport de l’entreprise PRO. L’OAI devra procéder également à une enquête ménagère.</w:t>
      </w:r>
    </w:p>
    <w:p>
      <w:r>
        <w:t>A/1595/2015 - 18/19 -</w:t>
      </w:r>
    </w:p>
    <w:p>
      <w:r>
        <w:rPr>
          <w:b/>
        </w:rPr>
        <w:t>E. 16</w:t>
      </w:r>
    </w:p>
    <w:p>
      <w:r>
        <w:t>Aussi le recours est-il partiellement admis, et la cause renvoyée à l’OAI pour instruction complémentaire dans le sens des considérants et nouvelle décision.</w:t>
      </w:r>
    </w:p>
    <w:p>
      <w:r>
        <w:t>A/1595/2015 - 19/19 -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