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ATAS/121/2015 vom 17. Februar 2015</w:t>
      </w:r>
    </w:p>
    <w:p>
      <w:r>
        <w:t>GE Cour de justice, 2015-02-17, FR</w:t>
      </w:r>
    </w:p>
    <w:p>
      <w:r>
        <w:rPr>
          <w:b/>
        </w:rPr>
        <w:t xml:space="preserve">Quelle: </w:t>
      </w:r>
      <w:r>
        <w:t>https://mcp.opencaselaw.ch/entscheid/ge_gerichte_ATAS_121_2015</w:t>
      </w:r>
    </w:p>
    <w:p>
      <w:r>
        <w:t>FR: GE_GERICHTE ATAS/121/2015 du 17 février 2015</w:t>
      </w:r>
    </w:p>
    <w:p>
      <w:r>
        <w:t>IT: GE_GERICHTE ATAS/121/2015 del 17 febbraio 2015</w:t>
      </w:r>
    </w:p>
    <w:p>
      <w:pPr>
        <w:pStyle w:val="Heading2"/>
      </w:pPr>
      <w:r>
        <w:t>Erwägungen</w:t>
      </w:r>
    </w:p>
    <w:p>
      <w:r>
        <w:rPr>
          <w:b/>
        </w:rPr>
        <w:t>E. 1</w:t>
      </w:r>
    </w:p>
    <w:p>
      <w:r>
        <w:t>Conformément à l'art. 134 al. 1 let. a ch. 2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24 février 2014 est postérieure à l’entrée en vigueur des modifications de la LAI suscitées. Par conséquent, du point de vue</w:t>
      </w:r>
    </w:p>
    <w:p>
      <w:r>
        <w:t>A/874/2014 - 9/17 -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w:t>
      </w:r>
    </w:p>
    <w:p>
      <w:r>
        <w:rPr>
          <w:b/>
        </w:rPr>
        <w:t>E. 4</w:t>
      </w:r>
    </w:p>
    <w:p>
      <w:r>
        <w:t>Interjeté dans la forme et le délai prévus par la loi, le recours est recevable (art. 56ss LPGA ; art. 89B de la loi sur la procédure administrative du 12 septembre 1985 - LPA ; RSG E 5 10).</w:t>
      </w:r>
    </w:p>
    <w:p>
      <w:r>
        <w:rPr>
          <w:b/>
        </w:rPr>
        <w:t>E. 5</w:t>
      </w:r>
    </w:p>
    <w:p>
      <w:r>
        <w:t>Le litige porte sur le droit du recourant à l’obtention de prestations d’invalidité, singulièrement sur sa capacité de travail.</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A/874/2014 - 10/17 -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w:t>
      </w:r>
    </w:p>
    <w:p>
      <w:r>
        <w:t>A/874/2014 - 11/17 -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w:t>
      </w:r>
    </w:p>
    <w:p>
      <w:r>
        <w:t>A/874/2014 - 12/17 - 283 consid. 4a; RAMA 1985 p. 240 consid. 4; arrêt du Tribunal fédéral des assurances I 751/03 du 19 mars 2004 consid. 3.3).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rPr>
          <w:b/>
        </w:rPr>
        <w:t>E. 11</w:t>
      </w:r>
    </w:p>
    <w:p>
      <w:r>
        <w:t>a. D’après le rapport d’expertise de la CRR, sur lequel se fonde la décision attaquée, il n’y a guère que les apnées du sommeil dont souffre le recourant qui sont relevantes pour juger de sa capacité de travail. Les autres diagnostics posés par le médecin traitant du recourant sont, selon les experts, sans incidence sur sa capacité de travail ; en effet, ni les affections notées sur le plan rhumatologique, touchant notamment le rachis aux niveaux lombaire et cervical, ni celles, qui n’étaient plus actuelles, liées à un carcinome du rein et une pancréatite n’impliquaient d’atteintes susceptibles de limiter la capacité de travail. Quant à elles, les apnées du sommeil, certes de degré sévère, étaient insuffisamment traitées et n’entraînaient pas d’incapacité de travail, mais simplement des limitations, tenant à l’exclusion de la conduite automobile professionnelle et d’autres activités requérant une même attention. b. Le rapport d’expertise de la CRR remplit, en principe, les réquisits jurisprudentiels pour lui reconnaître une pleine valeur probante, sous une réserve évoquée plus loin concernant les apnées du sommeil. Les autres rapports versés au dossier par le recourant (en particulier le rapport d’IRM du 19 février 2014) ne sont pas propres à mettre en doute les constatations des experts sur le plan rhumatologique. En effet, selon ces rapports, le recourant présente une discrète cervico-discarthrose C5-C6 et C6-C7, des minimes discopathies étagées de C7-D1 à D2-D3, un canal lombaire de taille limite</w:t>
      </w:r>
    </w:p>
    <w:p>
      <w:r>
        <w:t>A/874/2014 - 13/17 - inférieure, une discopathie protrusive L5-S1 et une discrète arthrose interfacettaire bilatérale étagée avec de discrets signes de surcharge articulaire en L4-L5, à savoir des affections peu importantes, dont le médecin ayant établi ledit rapport ne dit d’ailleurs pas qu’elles entraînent une incapacité de travail. Ces affections ne constituent assurément pas une atteinte invalidante pour l’exercice d’une activité légère et permettant des changements réguliers de position telle que le recourant a occupée, notamment comme traducteur et collaborateur social. Par ailleurs, il n’est certes pas contesté que le recourant a eu, dans un passé remontant à sept ans (donc en 2007), une pancréatite aigüe d’origine biliaire ayant nécessité un geste endoscopique avec une extraction des micro-calculs et une sphinctérotomie, ainsi qu’un carcinome rénal à cellules chromophobes et des cholécystites chroniques en poussée aigüe, ayant nécessité une néphrectomie gauche, un curage ganglionaire et une cholécystectomie. Force est cependant de retenir, avec les experts de la CRR, que la mention historique de ces affections ne doit pas être confondue avec un diagnostic contemporain d’affections qui seraient invalidantes, et que la seule mention par le médecin traitant, postérieurement à la prise de la décision attaquée, de douleurs survenant lors de la moindre palpation au niveau de la région où le recourant avait été opéré en 2007 ne suffit pas à justifier, même en conjonction avec les problèmes d’ordre rhumatologique précités et les apnées du sommeil, une conclusion de totale incapacité de travail dans toute activité. Affirmer, comme l’a fait le médecin traitant, que la capacité de travail du recourant est nulle dans quelque activité que ce soit n’emporte pas conviction. c. D’après le rapport de consultation du suivi du syndrome des apnées du sommeil établi le 13 mars 2014 par le laboratoire du sommeil des HUG, si le traitement par CPAP avait une efficacité évidente, les bénéfices en résultant étaient contrecarrés par un inconfort lié au port du masque. De ce mot « inconfort » ne saurait se déduire une portée insignifiante, renvoyant à une notion de simple commodité personnelle. Le port du masque provoquait des douleurs dentaires et nasales, une sécheresse des yeux et de la bouche, ainsi que des fuites autour du masque. Des mesures étaient envisageables et proposées : une adaptation des sangles du masque, l’augmentation de l’humidification, le port d’un autre masque, facial complet sans points d’appui sur le nez et la mandibule, un traitement dentaire, une reprise chirurgicale d’une ancienne fracture du nez. Un rapport dudit laboratoire du 20 mai 2014 a expliqué, au titre d’utile mise en perspective et d’appréciation concrète de la situation du recourant, que les masques occasionnaient tous d’importantes douleurs au recourant, en lien avec une ancienne fracture du nez et d’importants problèmes dentaires. Le recourant avait effectué de nombreux essais, en se montrant motivé à trouver une solution, mais il avait dû arrêter complètement le traitement par CPAP et avait été adressé au service de chirurgie maxillo-faciale des HUG, afin d’évaluer la possibilité de stabiliser la pathologie nasale et dentaire pour éventuellement reprendre un traitement par</w:t>
      </w:r>
    </w:p>
    <w:p>
      <w:r>
        <w:t>A/874/2014 - 14/17 - CPAP, ainsi que la possibilité d’une chirurgie du syndrome des apnées du sommeil par avancement bi-maxillaire. Il s’est ensuite avéré, d’après un rapport de ce service du 12 septembre 2014, qu’un propulseur mandibulaire était risqué, mais nécessaire pour se déterminer sur l’efficacité d’un avancement bi-maxillaire, et que l’avis d’un spécialiste en oto-rhino-laryngologie était indispensable concernant l’éventualité d’une chirurgie nasale. De plus, un courrier de ce même service, du 25 novembre 2014, a détaillé le traitement normal des apnées obstructives du sommeil : la première étape consistait en un appareillage CPAP, traitement abandonné par près de la moitié des patients ; en deuxième lieu pouvait être proposé un appareillage avec un propulseur mandibulaire, généralement moins efficace que le traitement par CPAP, mais un tel appareil, ancré sur les dents, n’était pas toujours réalisable car il pouvait endommager la dentition, ce qui était le cas du recourant ; en troisième lieu entrait en considération une ostéotomie bi-maxillaire, à savoir une opération au niveau des mâchoires supérieure et inférieure, mais l’appareillage avec un propulseur mandibulaire était indispensable pour tester l’efficacité d’une telle intervention. La solution est donc loin d’être simple. Les possibilités de remédier aux apnées du sommeil du recourant ou d’en atténuer les effets s’avèrent n’avoir pas été investiguées assez loin, de façon claire si l’on se reporte aux moments de l’expertise et de la prise de la décision attaquée, et même semble-t-il encore à ce jour. Il importe dès lors d’autant plus de ne pas sous-estimer les effets des apnées du sommeil dont souffre le recourant. Or, ces derniers ne relèvent pas que de plaintes purement subjectives et invérifiables du recourant. La polysomnographie avait permis de diagnostiquer un syndrome d'apnées obstructives du sommeil de degré sévère, avec un index d’apnées-hypopnées de 67/h, un index de désaturation de 65/h, et une hypoxémie nocturne ; l’efficacité du sommeil était de 67,4 % ; ces troubles respiratoires nocturnes altéraient la qualité du sommeil, sous forme de microfragmentation sévère du sommeil. Dans le même sens, le médecin traitant a mentionné, dans le questionnaire de l’intimé du 15 avril 2013, que le recourant s’endormait tout le temps durant la journée. d. Ainsi, s’agissant des apnées du sommeil et des troubles lui étant associés, en particulier la fatigabilité du recourant, il appert, au vu des développements postérieurs à la prise de la décision attaquée, que pour juste qu’il a pu être au moment de l’expertise, le constat que cette affection était insuffisamment traitée ne conserve pas à ce jour sa pleine pertinence, et qu’on ne saurait par ailleurs plus se contenter de retenir, comme les experts, d’une part que le port d’un masque durant la nuit (traitement par CPAP) apportait une grande amélioration et d’autre part que le recourant avait fait montre devant les experts de vivacité, d’énergie et de volubilité, en contradiction avec la description de sa grande fatigue.</w:t>
      </w:r>
    </w:p>
    <w:p>
      <w:r>
        <w:t>A/874/2014 - 15/17 - Les faits n’ont pas été investigués suffisamment par l’autorité intimée, et ils ne le sont pas à ce jour au point que la chambre de céans pourrait se prononcer sur l’éventuelle incapacité de travail que les affections diagnostiquées, en particulier les apnées du sommeil, génèrent pour le recourant, le cas échéant au-delà de limitations fonctionnelles. La décision attaquée sera donc annulée et la cause renvoyée à l’autorité intimée pour instruction complémentaire et nouvelle décision, les conditions d’un renvoi étant remplies. Il appartiendra à l’autorité intimée de demander des rapports plus détaillés et actualisés aux médecins compétents (par exemple du laboratoire du sommeil des HUG), comportant une appréciation, sur le principe et la mesure, d’une éventuelle incapacité de travail (avec la précision des activités qui seraient adaptées), voire de soumettre le recourant à des tests neuropsychologiques. Il appartiendra à l’autorité intimée d’examiner s’il y a lieu d’ordonner une expertise complémentaire. Les investigations complémentaires doivent se concentrer sur les apnées du sommeil et les troubles lui étant associés. Toutefois, dans la perspective de l’actualisation des données pertinentes pour statuer sur la demande de prestations de l’assurance-invalidité, elles doivent fournir l’occasion d’effectuer l’imagerie de contrôle des anciens problèmes de pancréatite et de carcinome rénal rencontrés en 2007 par le recourant, puisque les experts eux-mêmes ont relevé que les récidives étaient rares - donc pas totalement exclues - et qu’une telle imagerie de contrôle serait opportune six ans après l’intervention, et que par ailleurs le médecin traitant fait état de douleurs à la moindre palpation au niveau de cette région.</w:t>
      </w:r>
    </w:p>
    <w:p>
      <w:r>
        <w:rPr>
          <w:b/>
        </w:rPr>
        <w:t>E. 12</w:t>
      </w:r>
    </w:p>
    <w:p>
      <w:r>
        <w:t>a.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un émolument de CHF 200.- est mis à la charge de l’intimé. b. Un recourant qui obtient gain de cause a droit au remboursement de ses frais et dépens dans la mesure fixée par le tribunal ; leur montant est déterminé sans égard à la valeur litigieuse d’après l’importance et la complexité du litige (art. 61 let. g LPGA; art. 89H al. 3 de la loi sur la procédure administrative du 12 septembre 1985 - LPA-GE - E 5 10 ; art. 6 du règlement sur les frais, émoluments et indemnités en procédure administrative du 30 juillet 1986 - RFPA - E 5 10.03).</w:t>
      </w:r>
    </w:p>
    <w:p>
      <w:r>
        <w:t>A/874/2014 - 16/17 - L’autorité cantonale chargée de fixer l’indemnité de dépens jouit d’un large pouvoir d’appréciation (ATF 111 V 49 consid. 4a ; ATF 110 V 365 consid. 3c). En l’espèce, vu l’admission partielle du recours au sens des considérants, une indemnité de CHF 1’500.- sera accordée au recourant à titre de participation à ses frais et dépens.</w:t>
      </w:r>
    </w:p>
    <w:p>
      <w:r>
        <w:t>A/874/2014 - 17/17 -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