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ATAS/121/2008 vom 21. September 2006</w:t>
      </w:r>
    </w:p>
    <w:p>
      <w:r>
        <w:t>GE Cour de justice, 2006-09-21, FR</w:t>
      </w:r>
    </w:p>
    <w:p>
      <w:r>
        <w:rPr>
          <w:b/>
        </w:rPr>
        <w:t xml:space="preserve">Quelle: </w:t>
      </w:r>
      <w:r>
        <w:t>https://mcp.opencaselaw.ch/entscheid/ge_gerichte_ATAS_121_2008</w:t>
      </w:r>
    </w:p>
    <w:p>
      <w:r>
        <w:t>FR: GE_GERICHTE ATAS/121/2008 du 21 septembre 2006</w:t>
      </w:r>
    </w:p>
    <w:p>
      <w:r>
        <w:t>IT: GE_GERICHTE ATAS/121/2008 del 21 settembre 2006</w:t>
      </w:r>
    </w:p>
    <w:p>
      <w:pPr>
        <w:pStyle w:val="Heading2"/>
      </w:pPr>
      <w:r>
        <w:t>Regeste</w:t>
      </w:r>
    </w:p>
    <w:p>
      <w:r>
        <w:t>Résumé: Pour les personnes mariées, le versement de la prestation de sortie en espèce constitue un acte juridique soumis à la condition du consentement écrit du conjoint. En l'espèce, l'institution de prévoyance ne s'est pas enquis de ce fait avant le versmement de la pestation de libre passage en mains de l'ex-époux. Ce faisant, elle a violé son devoir de diligence de sorte qu'elle doit être condamnée au paiement de la moitié de la prestation de libre passage du demandeur à la défenderesse.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A/4046/2006 5/10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w:t>
      </w:r>
    </w:p>
    <w:p>
      <w:r>
        <w:rPr>
          <w:b/>
        </w:rPr>
        <w:t>E. 3</w:t>
      </w:r>
    </w:p>
    <w:p>
      <w:r>
        <w:t>Depuis l'entrée en vigueur du nouveau droit du divorce et des règles de coordination entre le juge de ce contentieux et le juge des assurances sociales (art. 141/142 CC, art. 25a LFLP), l'examen de la validité du versement d'une prestation de sortie en espèces à un assuré, pendant la durée du mariage, ressortit principalement à la compétence du juge des assurances (ATF 128 V 41 consid. 2d). La prestation de sortie constitue en effet une prétention tirée d'un rapport de prévoyance soumis à la LFLP (Walser, op. cit., p. 52), dont le sort relève, en l'absence de convention (art. 142 CC, art 25a LFLP), du juge des assurances selon l'art. 73 LPP, clé de répartition exceptée. Ainsi, la validité du versement en espèces au regard des conditions de l'art. 5 al. 2 LFLP et les conséquences au niveau de la prévoyance professionnelle d'un versement non conforme au droit représentent des questions du droit de la prévoyance professionnelle (arrêt H. du 30 octobre 2003, B 19/01, consid. 1.2, publié aux ATF 130 V 103; voir aussi Geiser, Bemerkungen zum Verzicht auf den Versorgungsausgleich im neuen Scheidungsrecht [art. 123 ZGB], ZBJV 2000 p. 104, ch. 6.3).</w:t>
      </w:r>
    </w:p>
    <w:p>
      <w:r>
        <w:rPr>
          <w:b/>
        </w:rPr>
        <w:t>E. 4</w:t>
      </w:r>
    </w:p>
    <w:p>
      <w:r>
        <w:t>En l’espèce, le juge de première instance a ordonné le partage par moitié des prestations de sortie acquises durant le mariage par les demandeurs, soit du 10</w:t>
      </w:r>
    </w:p>
    <w:p>
      <w:r>
        <w:t>A/4046/2006 6/10 février 1993 au 26 octobre 2006, date à laquelle le jugement de divorce est devenu exécutoire. Selon les documents produits, la demanderesse n'a pas cotisé auprès d'une institution de prévoyance durant le mariage. Quant au demandeur, il dispose d'une prestation de libre passage auprès de l'Institution supplétive, à Zurich, de 2'848 fr (2'237 fr. 90 + 610 fr. 10 après déduction des frais de clôture de 55 fr. ), intérêts inclus jusqu'au 26 octobre 2006. En outre, il était au bénéfice d'une prestation de libre passage auprès de la FONDATION DE LIBRE PASSAGE BANCA DEL GOTTARDO de 17'659 fr. 15, valeur 31 mars 2004. La Fondation précitée indique cependant qu'à la demande de son assuré, sa prestation de libre passage, soit 16'787 fr. 80 - après déduction de l'impôt à la source de 1'020 fr -, lui a été versée en espèces en raison de son départ pour les Seychelles le 30 décembre 2004. A la demande du Tribunal de céans de lui communiquer copie d'un document portant la signature de l'épouse du demandeur donnant son accord pour le paiement en espèces, la défenderesse a répondu que selon le formulaire "annonce de départ" son assuré n'était pas marié. Il convient dès lors d'examiner la validité du versement en espèces pendant le mariage de la prestation de libre passage en mains du demandeur et de déterminer quelles en sont les conséquences du point de vue du partage des prestations de la prévoyance professionnelle suite au divorce.</w:t>
      </w:r>
    </w:p>
    <w:p>
      <w:r>
        <w:rPr>
          <w:b/>
        </w:rPr>
        <w:t>E. 5</w:t>
      </w:r>
    </w:p>
    <w:p>
      <w:r>
        <w:t>Selon l'art. 2 al. 1 LFLP, l'assuré a droit à une prestation de sortie s'il quitte l'institution de prévoyance avant la survenance d'un cas de prévoyance (cas de libre passage). S'il entre dans une nouvelle institution, l'ancienne doit verser la prestation à la nouvelle institution de prévoyance (art. 3 al. 1 LFLP). S'il n'entre pas dans une autre institution de prévoyance, il doit notifier à l'institution sous quelle forme admise il entend maintenir sa prévoyance (art. 4 al. 1 LFLP). A défaut de notification, l'institution verse, au plus tard deux ans après la survenance du cas de libre passage, la prestation de sortie, y compris les intérêts moratoires, à l'institution supplétive au sens de l'art. 60 LPP (art. 4 al. 2 LFLP).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w:t>
      </w:r>
    </w:p>
    <w:p>
      <w:r>
        <w:t>A/4046/2006 7/10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w:t>
      </w:r>
    </w:p>
    <w:p>
      <w:r>
        <w:t>A/4046/2006 8/10</w:t>
      </w:r>
    </w:p>
    <w:p>
      <w:r>
        <w:rPr>
          <w:b/>
        </w:rPr>
        <w:t>E. 6</w:t>
      </w:r>
    </w:p>
    <w:p>
      <w:r>
        <w:t>En l'occurrence, la FONDATION DE LIBRE PASSAGE BANCA DEL GOTTARDO a versé la prestation de sortie en espèces en mains du demandeur en se fondant sur le formulaire d'annonce de départ rempli par son assuré en date du 3 décembre 2004 à l'attention de l'Office cantonal de la population de la République et canton de Genève. Il résulte de ce document que l'assuré quittait la Suisse pour les Seychelles le 30 décembre 2004. Le formulaire d'annonce de départ ne comporte aucune question relative à l'état-civil du demandeur et ce dernier n'a pas répondu à la question de savoir si cette annonce de départ concernait également le conjoint. Il a toutefois indiqué que cette annonce ne concernait pas les enfants. Le Tribunal de céans constate que la défenderesse n'a pas adressé à son affilié un formulaire spécial relatif à la demande de versement en espèces de sa prestation de sortie et qu'elle ne s'est pas souciée de savoir s'il était marié ou non. Quant au document d'annonce de départ adressé par le demandeur à son institution de prévoyance, force est de constater qu'il était manifestement incomplet, dès lors qu'il ne comportait aucune question relative à l'état-civil de l'assuré. La défenderesse ne pouvait dès lors s'en contenter et il lui appartenait, avant de verser la prestation de libre passage en mains du demandeur, d'interroger précisément son affilié quant à son état-civil et de demander l'accord (obligatoire) de son conjoint. Ne l'ayant point fait, la défenderesse a violé son devoir de diligence, de sorte qu'il y a lieu de constater qu'elle ne s'est pas acquittée valablement de son obligation. Au vu de ce qui précède, la prestation de libre passage versée en espèces au demandeur par la FONDATION DE LIBRE PASSAGE BANCA DEL GOTTARDO doit être prise en compte dans le calcul des avoirs de prévoyance à partager, pour le montant de 17'807 fr. 80, sans déduction de l’impôt à la source, valeur 31 décembre 2004. Majorée des intérêts calculés au taux de 2,5 % dès le 1er janvier 2005 jusqu'au moment du divorce (cf. art. 12 let. d de l'Ordonnance sur la prévoyance professionnelle vieillesse, survivants et invalidité du 18 avril 1984, OPP 2) , cette prestation de libre passage s'élève à 18'632 fr. 50. Ainsi, le montant total de la prestation de libre passage du demandeur s'élève à 21'480 fr. 50 ( 18'632 fr. 50 + 2'848 fr.), dont la moitié, soit 10'740 fr. 25 revient à l'ex-épouse. Le Tribunal ordonnera en conséquence le transfert des avoirs du compte du demandeur auprès de LA FONDATION INSTITUTION SUPPLETIVE LPP, administration des comptes de libre passage, à Zurich, soit 2'848 fr., frais de clôture de 55 fr. déjà déduits et intérêts compris jusqu'au 26 octobre 2006 en faveur du compte ouvert par la demanderesse auprès de la FONDATION DE LIBRE PASSAGE DE LA BANQUE CANTONALE DE GENEVE. Pour le solde, le Tribunal condamnera la FONDATION DE LIBRE PASSAGE BANCA DEL GOTTARDO, en raison de la violation de son devoir de diligence, au paiement de 7'892 fr. 25 (10'740 fr. 25 - 2'848 fr.) en faveur de la demanderesse.</w:t>
      </w:r>
    </w:p>
    <w:p>
      <w:r>
        <w:t>A/4046/2006 9/10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