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ATAS/1219/2020 vom 15. Dezember 2020</w:t>
      </w:r>
    </w:p>
    <w:p>
      <w:r>
        <w:t>GE Cour de justice, 2020-12-15, FR</w:t>
      </w:r>
    </w:p>
    <w:p>
      <w:r>
        <w:rPr>
          <w:b/>
        </w:rPr>
        <w:t xml:space="preserve">Quelle: </w:t>
      </w:r>
      <w:r>
        <w:t>https://mcp.opencaselaw.ch/entscheid/ge_gerichte_ATAS_1219_2020</w:t>
      </w:r>
    </w:p>
    <w:p>
      <w:r>
        <w:t>FR: GE_GERICHTE ATAS/1219/2020 du 15 décembre 2020</w:t>
      </w:r>
    </w:p>
    <w:p>
      <w:r>
        <w:t>IT: GE_GERICHTE ATAS/1219/2020 del 15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56ss LPGA).</w:t>
      </w:r>
    </w:p>
    <w:p>
      <w:r>
        <w:rPr>
          <w:b/>
        </w:rPr>
        <w:t>E. 3</w:t>
      </w:r>
    </w:p>
    <w:p>
      <w:r>
        <w:t>Le litige porte uniquement sur le point de savoir si l’intimée était fondée à rejeter la demande de restitution de délai formée par le recourant le 20 avril 2020.</w:t>
      </w:r>
    </w:p>
    <w:p>
      <w:r>
        <w:rPr>
          <w:b/>
        </w:rPr>
        <w:t>E. 4</w:t>
      </w:r>
    </w:p>
    <w:p>
      <w:r>
        <w:t>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w:t>
      </w:r>
    </w:p>
    <w:p>
      <w:r>
        <w:t>A/1595/2020 - 4/5 -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b. En l’occurrence, indépendamment du point de savoir si le recourant a recouru dans le délai de trente jours à compter de celui où l’empêchement a cessé, ce dernier ne fait valoir aucune circonstance valable qui aurait empêché son mandataire de déposer une opposition dans le délai utile. Il n’est en effet pas contesté que, compte tenu de la suspension des délais du 18 décembre au 2 janvier inclusivement (cf. art. 38 al. 4 let. c LPGA), le délai d’opposition contre la décision du 29 novembre 2018 (notifiée le lendemain) est arrivé à échéance le 15 janvier 2019. Or, à cette date, le conseil du recourant était capable de travailler à 50 % depuis neuf jours, comme cela ressort du certificat médical du</w:t>
      </w:r>
    </w:p>
    <w:p>
      <w:r>
        <w:rPr>
          <w:b/>
        </w:rPr>
        <w:t>E. 7</w:t>
      </w:r>
    </w:p>
    <w:p>
      <w:r>
        <w:t>décembre 2018 produit par le recourant. Aucun élément au dossier ne fait état d’une incapacité de discernement ou ne décrit de troubles qui par leur gravité auraient été susceptibles d’empêcher son mandataire de former opposition dans le délai utile, voire de recourir à temps aux services d’un tiers. Il a d’ailleurs été en mesure, durant ce même délai, de former une réplique devant la chambre de céans dans le cadre d’une procédure parallèle (cf. réplique du 14 janvier 2019 produite par l’intimée). Dans ces conditions, on peut admettre sans difficulté que l’intéressé était capable de procéder à des actes de procédure sans être empêché par son état de santé. Quant à l’argument tiré de l’erreur de l’assistante de son mandataire, il ne lui est d’aucun secours. Selon la jurisprudence constante du Tribunal fédéral, citée par l’intimée dans le cadre de la présente procédure, les actes et omissions d’un avocat sont imputables à son client (ATF 143 I 284 consid. 1.3) et lorsque le recourant ou le mandataire fait usage des services d’un auxiliaire, il répond du comportement de celui-ci comme de ses propres actes (ATF 114 Ib 67 consid. 2 ; ATF 107 Ia 168 ; arrêt du Tribunal fédéral 8C_743/2019 du 20 décembre 2019 consid. 4.3 et les références). Partant, lorsque l’inobservation du délai est due à la faute d’un auxiliaire, il n’y a pas matière à restitution du délai (cf. arrêt du Tribunal fédéral 9C_456/2018 du 27 août 2018). Les conditions d’une restitution du délai d’opposition ne sont donc pas remplies, de sorte que la décision entreprise doit être confirmée. 5. Il s’ensuit que le recours ne peut qu’être rejeté. Pour le surplus, la procédure est gratuite (art. 61 let. a LPGA). * * * * * *</w:t>
      </w:r>
    </w:p>
    <w:p>
      <w:r>
        <w:t>A/1595/2020 - 5/5 -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