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ATAS/1218/2012 vom 10. Oktober 2012</w:t>
      </w:r>
    </w:p>
    <w:p>
      <w:r>
        <w:t>GE Cour de justice, 2012-10-10, FR</w:t>
      </w:r>
    </w:p>
    <w:p>
      <w:r>
        <w:rPr>
          <w:b/>
        </w:rPr>
        <w:t xml:space="preserve">Quelle: </w:t>
      </w:r>
      <w:r>
        <w:t>https://mcp.opencaselaw.ch/entscheid/ge_gerichte_ATAS_1218_2012</w:t>
      </w:r>
    </w:p>
    <w:p>
      <w:r>
        <w:t>FR: GE_GERICHTE ATAS/1218/2012 du 10 octobre 2012</w:t>
      </w:r>
    </w:p>
    <w:p>
      <w:r>
        <w:t>IT: GE_GERICHTE ATAS/1218/2012 del 10 ottobre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Par conséquent les intérêts dus au demandeur sur la somme de 4'899 fr. 30 existant au 30 avril 2001 se montent à 1'634 fr. 96 et ceux dus à la demanderesse sur la somme de 1'538 fr. 60 existant au 12 octobre 2006 à 203 fr. 42.</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t>A/1653/2012 6/7</w:t>
      </w:r>
    </w:p>
    <w:p>
      <w:r>
        <w:rPr>
          <w:b/>
        </w:rPr>
        <w:t>E. 4</w:t>
      </w:r>
    </w:p>
    <w:p>
      <w:r>
        <w:t>En l’espèce, le juge de première instance a donné acte aux demandeurs de ce qu’ils ont convenu de se partager par moitié la totalité de leurs avoirs de prévoyance professionnelle accumulés pendant le mariage, sans tenir compte des fonds retirés pour l’acquisition des parts sociales de la société coopérative d’habitation « E__________ », sis à Chancy. Les dates pertinentes sont, d’une part, celle du mariage, le 26 avril 2001, d’autre part le 16 mai 2012, date à laquelle le jugement de divorce est devenu exécutoire.</w:t>
      </w:r>
    </w:p>
    <w:p>
      <w:r>
        <w:rPr>
          <w:b/>
        </w:rPr>
        <w:t>E. 5</w:t>
      </w:r>
    </w:p>
    <w:p>
      <w:r>
        <w:t>Selon les documents produits, la prestation acquise pendant le mariage par le demandeur est de 10’946 fr. 72 tandis que celle acquise par la demanderesse est de 3'464 fr. 42. Ainsi le demandeur doit à son ex-épouse le montant de 5'473 fr. 36 (10’946 fr. 72 : 2) et celle-ci doit à celui-là le montant de 1'732 fr. 21 (3'464 fr. 42 : 2), de sorte que c’est le demandeur qui doit à la demanderesse le montant de 3'741 fr. 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A/1653/2012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