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ATAS/1217/2008 vom 29. Oktober 2008</w:t>
      </w:r>
    </w:p>
    <w:p>
      <w:r>
        <w:t>GE Cour de justice, 2008-10-29, FR</w:t>
      </w:r>
    </w:p>
    <w:p>
      <w:r>
        <w:rPr>
          <w:b/>
        </w:rPr>
        <w:t xml:space="preserve">Quelle: </w:t>
      </w:r>
      <w:r>
        <w:t>https://mcp.opencaselaw.ch/entscheid/ge_gerichte_ATAS_1217_2008</w:t>
      </w:r>
    </w:p>
    <w:p>
      <w:r>
        <w:t>FR: GE_GERICHTE ATAS/1217/2008 du 29 octobre 2008</w:t>
      </w:r>
    </w:p>
    <w:p>
      <w:r>
        <w:t>IT: GE_GERICHTE ATAS/1217/2008 del 29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t>A/4441/2007 - 11/18 -</w:t>
      </w:r>
    </w:p>
    <w:p>
      <w:r>
        <w:rPr>
          <w:b/>
        </w:rPr>
        <w:t>E. 3</w:t>
      </w:r>
    </w:p>
    <w:p>
      <w:r>
        <w:t>Le présent recours, interjeté dans les forme et délai prévus par la loi, est recevable (art. 56 à 60 LPGA).</w:t>
      </w:r>
    </w:p>
    <w:p>
      <w:r>
        <w:rPr>
          <w:b/>
        </w:rPr>
        <w:t>E. 4</w:t>
      </w:r>
    </w:p>
    <w:p>
      <w:r>
        <w:t>La question litigieuse que le Tribunal de céans doit trancher consiste à savoir si c'est à juste titre que, sur révision, l'OCAI a supprimé la demi-rente d'invalidité du recourant et si le recourant peut prétendre à des mesures professionnelles.</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consid. 1.2) Pour savoir si l'état de santé du recourant s'est modifié entre la décision d'octroi de la rente et celle de la suppression, il s'agit de comparer les faits essentiellement du point de vue médical, tels qu'ils étaient au moment des deux décisions respectives. Le Tribunal doit ainsi s'instruire en prenant connaissance des diverses pièces médicales versées à la procédure devant lui par les parties, et juger du poids respectif de celles-ci.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w:t>
      </w:r>
    </w:p>
    <w:p>
      <w:r>
        <w:t>A/4441/2007 - 12/18 -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w:t>
      </w:r>
    </w:p>
    <w:p>
      <w:r>
        <w:rPr>
          <w:b/>
        </w:rPr>
        <w:t>E. 6</w:t>
      </w:r>
    </w:p>
    <w:p>
      <w:r>
        <w:t>On rappellera, s'agissant de l'appréciation des faits,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w:t>
      </w:r>
    </w:p>
    <w:p>
      <w:r>
        <w:t>A/4441/2007 - 13/18 - de travail par le médecin de famille (ATF 125 V 353 consid. 3b/cc et les références, RJJ 1995, p. 44 ; RCC 1988 p. 504 consid. 2).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w:t>
      </w:r>
    </w:p>
    <w:p>
      <w:r>
        <w:rPr>
          <w:b/>
        </w:rPr>
        <w:t>E. 7</w:t>
      </w:r>
    </w:p>
    <w:p>
      <w:r>
        <w:t>Il convient en l'occurrence de comparer la situation existant au moment de la décision litigieuse avec les faits et les circonstances qui prévalaient lors des décisions initiales de rente, prises en 2000. A cet égard, la décision initiale de rente a été prise, en 2000, sur la base de l'expertise du SAM de Bellinzone et plus particulièrement sur les conclusions du Dr H__________ qui retenait la présence d'un trouble de la personnalité et attestait d'une incapacité de travail de 50 % dans toute activité. Lors de la procédure de révision subséquente, initiée en 2007, l'intimé a ordonné une expertise psychiatrique auprès du Dr M__________, qui a exclu la présence de ce trouble et attesté d'une pleine capacité de travail. C'est sur cette base que l'OCAI a procédé, le</w:t>
      </w:r>
    </w:p>
    <w:p>
      <w:r>
        <w:rPr>
          <w:b/>
        </w:rPr>
        <w:t>E. 12</w:t>
      </w:r>
    </w:p>
    <w:p>
      <w:r>
        <w:t>Le recourant, qui obtient gain de cause, a droit à des dépens, fixés en l'espèce à 2'500 fr. Par ailleurs, la loi fédérale du 16 décembre 2005 modifiant la loi fédérale sur l'assurance-invalidité, entrée en vigueur le 1er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1'000 fr. sera mis à charge de l'intimé.</w:t>
      </w:r>
    </w:p>
    <w:p>
      <w:r>
        <w:t>A/4441/2007 - 18/18 -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