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ATAS/1216/2013 vom 10. Dezember 2013</w:t>
      </w:r>
    </w:p>
    <w:p>
      <w:r>
        <w:t>GE Cour de justice, 2013-12-10, FR</w:t>
      </w:r>
    </w:p>
    <w:p>
      <w:r>
        <w:rPr>
          <w:b/>
        </w:rPr>
        <w:t xml:space="preserve">Quelle: </w:t>
      </w:r>
      <w:r>
        <w:t>https://mcp.opencaselaw.ch/entscheid/ge_gerichte_ATAS_1216_2013</w:t>
      </w:r>
    </w:p>
    <w:p>
      <w:r>
        <w:t>FR: GE_GERICHTE ATAS/1216/2013 du 10 décembre 2013</w:t>
      </w:r>
    </w:p>
    <w:p>
      <w:r>
        <w:t>IT: GE_GERICHTE ATAS/1216/2013 del 10 dicembre 2013</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A/3911/2012 - 11/20 -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2.2</w:t>
      </w:r>
    </w:p>
    <w:p>
      <w:r>
        <w:t>et 2.3). Il convient de préciser que ces novelles introduites par la 5ème révision et la révision 6a de la LAI n'ont pas amené de modifications substantielles en matière d'évaluation du degré d'invalidité (ATFA non publié I 249/05 du 11 juillet 2006, consid. 2.1 et Message concernant la modification de la loi fédérale sur l'assurance- 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rPr>
          <w:b/>
        </w:rPr>
        <w:t>E. 3</w:t>
      </w:r>
    </w:p>
    <w:p>
      <w:r>
        <w:t>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du 1er janvier 2004 (4ème révision) au 31 décembre 2007, du 1er janvier 2008 (5ème révision) jusqu'au 31 décembre 2011 et après le 1er janvier 2012 (révision 6a), en fonction des modifications de la LAI, dans la mesure de leur pertinence (ATF 130 V 445 et les références ; voir également ATF 130 V 329 et ATF 130 V 332, consid.</w:t>
      </w:r>
    </w:p>
    <w:p>
      <w:r>
        <w:rPr>
          <w:b/>
        </w:rPr>
        <w:t>E. 4</w:t>
      </w:r>
    </w:p>
    <w:p>
      <w:r>
        <w:t>Interjeté dans les formes et le délai prescrits, le recours est recevable (art. 56 à 61 et 38 al. 4 let. c LPGA).</w:t>
      </w:r>
    </w:p>
    <w:p>
      <w:r>
        <w:rPr>
          <w:b/>
        </w:rPr>
        <w:t>E. 5</w:t>
      </w:r>
    </w:p>
    <w:p>
      <w:r>
        <w:t>Le litige porte sur la question de savoir si le recourant présente, entre la décision de l’intimé du 21 octobre 2003 et celle du 4 décembre 2012, une aggravation de son état de santé lui ouvrant droit à des prestations de l'assurance-invalidité, soit à une rente et/ou à des mesures de réadaptation professionnelle.</w:t>
      </w:r>
    </w:p>
    <w:p>
      <w:r>
        <w:rPr>
          <w:b/>
        </w:rPr>
        <w:t>E. 6</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w:t>
      </w:r>
    </w:p>
    <w:p>
      <w:r>
        <w:t>A/3911/2012 - 12/20 -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rPr>
          <w:b/>
        </w:rPr>
        <w:t>E. 7</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8</w:t>
      </w:r>
    </w:p>
    <w:p>
      <w:r>
        <w:t>Est réputée invalidité, l'incapacité de gain totale ou partielle présumée permanente ou de longue durée, résultant d'une infirmité congénitale, d'une maladie ou d'un</w:t>
      </w:r>
    </w:p>
    <w:p>
      <w:r>
        <w:t>A/3911/2012 - 13/20 -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10</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Celui qui peut prétendre au reclassement en raison de son invalidité a droit à la formation complète qui est nécessaire dans son cas, si sa capacité de gain peut</w:t>
      </w:r>
    </w:p>
    <w:p>
      <w:r>
        <w:t>A/3911/2012 - 14/20 - ainsi, selon toute vraisemblance, être sauvegardée ou améliorée de manière notable (ATF 124 V 108 consid. 2a; VSI 1997 p. 85 consid. 1). Se pose en premier lieu la question de savoir si l'assuré est invalide ou menacé d'une invalidité permanente (art. 28 al. 1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w:t>
      </w:r>
    </w:p>
    <w:p>
      <w:r>
        <w:rPr>
          <w:b/>
        </w:rPr>
        <w:t>E. 11</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A/3911/2012 - 15/20 -</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A/3911/2012 - 16/20 - convient de rappeler qu'au vu de la divergence consacrée par la jurisprudence entre un mandat thérapeutique et un mandat d'expertise (ATF 124 I 170 consid. 4 ; ATF non publié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l’intimé considère que l’état de santé du recourant ne s’est pas modifié depuis sa décision du 21 octobre 2003. Il fonde sa décision sur l’expertise du 13 juin 2012 du Dr I_________, dont la valeur probante est reconnue par le Dr H_________ du SMR. Dans le cadre de cette expertise, le Dr I_________ a diagnostiqué, comme ayant une répercussion sur la capacité de travail, un probable syndrome d’obésité- hypoventilation alvéolaire dès 2006, un syndrome d’apnées obstructives et d’apnées centrales du sommeil secondaire à la prise de drogue dès 2006, une pneumopathie interstitielle diffuse probablement de type bronchiolite respiratoire et pneumopathie interstitielle depuis 2012 et une pseudarthrose du deuxième métacarpe droit depuis 1995. En ce qui concerne les diagnostics sans répercussion sur la capacité de travail, le Dr I_________ a retenu des troubles mentaux et des troubles du comportement liés à l’utilisation d’opiacés sous substitution, un status après convulsions dans le cadre de syndrome de sevrage, des troubles mentaux et des troubles du comportement liés à l’utilisation de tabac et un syndrome métabolique connu de longue date avec obésité et dyslipidémie traitée. L’assuré a été victime de deux crises d’épilepsie survenue dans le contexte d’un sevrage ou d’une surdose d’opiacés en 2010 et 2011. Ses problèmes respiratoires sont complexes et se superposent en partie. Ils ont quatre origines communes, soit un tabagisme sévère à soixante cigarettes par jour, une consommation d’héroïne inhalée sur près de vingt- cinq ans, actuellement un gramme par jour, une obésité viscérale et un</w:t>
      </w:r>
    </w:p>
    <w:p>
      <w:r>
        <w:t>A/3911/2012 - 17/20 - déconditionnement majeur. Ces quatre facteurs peuvent être traités respectivement par l’arrêt du tabagisme, l’arrêt de la consommation d’opiacés, la réduction de poids et la lutte contre le déconditionnement. Ces mesures sont exigibles de l’assuré et susceptibles d’améliorer la situation médicale en quelques semaines. Sa capacité de travail est nulle dès le 31 mai 2012, pour trois mois. Grâce aux mesures préconisées, celle-ci pouvait toutefois être totalement restaurée dans cet intervalle, dans une activité adaptée à ses limitations fonctionnelles, telle que le magasinage léger avec gestion de stock ou la vente en pièces détachées légère. La toxicomanie du recourant ne remettait pas en cause sa capacité de travail médico-théorique. La Cour de céans constate que l'expertise du Dr I_________ est en tout point conforme aux réquisits jurisprudentiels relatifs à la valeur probante. Elle est établie sur la base d’un examen clinique du recourant et sur l’étude approfondie de son dossier médical. Elle tient compte de ses plaintes et contient une anamnèse complète, des diagnostics clairs et des conclusions motivées dénuées de contradiction. L’expertise du Dr I_________ est complète et détaillée. Son appréciation permet de comprendre les troubles dont souffre le recourant, ses conséquences sur sa capacité de travail et les actions qui lui permettraient d’améliorer rapidement son état de santé afin de la restaurer. Pour sa part, le recourant conteste la pertinence de ladite expertise, se fondant sur les rapports de ses médecins traitants, soit les Drs G_________ et D_________. En outre, il requiert de la Cour de céans qu’une expertise judiciaire soit ordonnée afin d’évaluer son état de santé et sa capacité de travail. Dans ses rapports, le Dr G_________ a retenu les diagnostics d’insuffisance respiratoire chronique hypoxémique hypercapnique, de syndrome d’obésité- hypoventilation alvéolaire, de syndrome sévère d’apnées obstructives du sommeil, équipé d’une pression positive continue depuis le 18 mai 2011 (masque facial, pressions 4-12 cm H2O), de syndrome obstructif modéré, d’ oxygénothérapie depuis le 1er juillet 2012 (quinze heures et un litre par jour) et de foramen ovale perméable avec shunt droite-gauche à la manœuvre de Valsava (échocardiographie transthoracique du 21 janvier 2013). Il a également relevé plusieurs comorbidités, soit une obésité, un tabagisme chronique actif, un status après polytraumatisme thoracique sur accident sur la voie publique en mars 1995 et une ex-héroïnomanie repentie en 2008 sous traitement de Méthadone. Selon lui, le recourant est totalement incapable de travailler, même dans une activité sédentaire, en raison de ses troubles respiratoires sévères et invalidants. A la lecture des différentes pièces médicales établies par le Dr G_________, la Cour de céans constate qu’elles sont lacunaires. Outre le caractère succinct de ces documents, il appert que les conclusions ne sont pas suffisamment motivées et ne permettent pas de comprendre quel diagnostic induit des limitations fonctionnelles et en quoi celles-ci consistent. Par ailleurs, les conclusions apparaissent comme</w:t>
      </w:r>
    </w:p>
    <w:p>
      <w:r>
        <w:t>A/3911/2012 - 18/20 - contradictoires avec les constatations objectives quant aux effets bénéfiques sur la santé du recourant du traitement contre l’apnée du sommeil. Par conséquent, la Cour de céans ne peut se fonder sur ces rapports pour déterminer l’état de santé du recourant et sa capacité de travail. Quant au Dr D_________, ce dernier a diagnostiqué une apnée du sommeil sévère et de l’épilepsie. Il a en outre fait état des problèmes d’addictions au tabac et à l’héroïne du recourant. Selon lui, la capacité de travail de l’assuré dans son activité habituelle est nulle et de 50% dans une activité adaptée comme celle de magasinier. Là encore, la Cour de céans ne peut que constater le caractère succinct et lacunaire des rapports du Dr D_________. Rien ne permet de faire le lien entre les diagnostics retenus et l’incapacité de travail du recourant. Ces rapports ne peuvent donc pas être retenus pour établir l’état de santé et la capacité de travail de ce dernier. Conformément aux principes jurisprudentiels rappelés précédemment, l’expertise judiciaire requise par le recourant dans le cadre de son recours n’apparaît pas comme nécessaire dans la mesure où l’expertise du Dr I_________ s’est vue reconnaître une pleine valeur probante. De plus, le simple fait que les conclusions des médecins traitants du recourant divergent de celles de l’expert ne suffit pas pour justifier qu’une expertise judiciaire soit ordonnée. A la lecture du dossier du recourant, il apparaît très clairement que son état de santé s’est péjoré depuis la décision de l’intimé du 21 octobre 2003, avec l’apparition de divers problèmes respiratoires. Toutefois, il est encore trop tôt pour pouvoir considérer cette péjoration comme invalidante. En effet, au moment où l’intimé a rendu la décision querellée, les affections pneumologiques et leurs répercussions révélées par l’oxymétrie nocturne réalisée par le Dr G_________ le 31 mai 2012 avaient moins d’une année (art. 28 al. 1 et 29 al. 1 LAI) et ne pouvait dès lors pas être reconnues comme invalidantes. Il appartiendra au recourant et à ses médecins traitant de mettre en œuvre les mesures raisonnablement exigibles préconisées par le Dr I_________ dans le cadre de son expertise. Ce n’est qu’une fois ces mesures achevées, que les médecins traitants devront faire le point sur l’état de santé du recourant. Il lui sera alors loisible de déposer une nouvelle demande de prestations, si les circonstances le justifient, par exemple en raison de l’échec des mesures précitées, d’une aggravation de son état de santé ou encore d’éventuelles complications qui seraient survenues. Compte tenu de ce qui précède, la Cour de céans n’a, en l’état aucun motif de s’écarter des conclusions du Dr I_________. En outre, le recourant ayant déjà bénéficié de mesures de reclassement professionnel adéquates et correspondant à ses aptitudes, aucune mesure d’ordre professionnel n’apparaît comme opportune. La décision querellée rendue par l’intimé est par conséquent justifiée.</w:t>
      </w:r>
    </w:p>
    <w:p>
      <w:r>
        <w:t>A/3911/2012 - 19/20 -</w:t>
      </w:r>
    </w:p>
    <w:p>
      <w:r>
        <w:rPr>
          <w:b/>
        </w:rPr>
        <w:t>E. 14</w:t>
      </w:r>
    </w:p>
    <w:p>
      <w:r>
        <w:t>Mal fondé, le recours doit être rejeté.</w:t>
      </w:r>
    </w:p>
    <w:p>
      <w:r>
        <w:rPr>
          <w:b/>
        </w:rPr>
        <w:t>E. 15</w:t>
      </w:r>
    </w:p>
    <w:p>
      <w:r>
        <w:t>Un émolument de 200 fr. est mis à la charge du recourant (art. 69 al. 1bis LAI).</w:t>
      </w:r>
    </w:p>
    <w:p>
      <w:r>
        <w:t>A/3911/2012 - 20/20 -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