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ATAS/1214/2010 vom 25. November 2010</w:t>
      </w:r>
    </w:p>
    <w:p>
      <w:r>
        <w:t>GE Cour de justice, 2010-11-25, FR</w:t>
      </w:r>
    </w:p>
    <w:p>
      <w:r>
        <w:rPr>
          <w:b/>
        </w:rPr>
        <w:t xml:space="preserve">Quelle: </w:t>
      </w:r>
      <w:r>
        <w:t>https://mcp.opencaselaw.ch/entscheid/ge_gerichte_ATAS_1214_2010</w:t>
      </w:r>
    </w:p>
    <w:p>
      <w:r>
        <w:t>FR: GE_GERICHTE ATAS/1214/2010 du 25 novembre 2010</w:t>
      </w:r>
    </w:p>
    <w:p>
      <w:r>
        <w:t>IT: GE_GERICHTE ATAS/1214/2010 del 25 novembre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w:t>
      </w:r>
    </w:p>
    <w:p>
      <w:r>
        <w:t>A/2088/2010 - 4/5 - b) S’agissant des prestations complémentaire cantonales, l’art. 43 de la loi du 25 octobre 1968 sur les prestations cantonales complémentaires à l’assurance- vieillesse et survivants et à l’assurance-invalidité (ci-après : LPCC) ouvre les mêmes voies de droit. c) En vertu des art. 40 al. 1 et 60 al. 2 LPGA et 16 de la loi cantonale du 12 septembre 1985 sur la procédure administrative (LPA) un délai légal ne peut être prolongé. 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PA et 16 al. 1 LPA) et pour autant qu’une demande de restitution motivée, indiquant la nature de l’empêchement, soit présentée dans les dix jours à compter de celui où il a cessé. Le droit cantonal prévoit pour sa part qu’une restitution de délai ne peut intervenir que dans les cas de force majeure. d) En l’espèce, la recourante allègue n'avoir pas reçu l'avis de LA POSTE. La jurisprudence pose cependant la présomption qu'un envoi recommandé est réputé notifié à la date à laquelle son destinataire le reçoit effectivement et que lorsque ce dernier ne peut être atteint et qu'une invitation à retirer l'envoi est déposée dans sa boîte aux lettres ou dans sa case postale, si l'envoi n'est pas retiré dans le délai de garde de sept jours, il est réputé avoir été communiqué le dernier jour de ce délai. La jurisprudence précise encore que lorsque l'autorité procède à une deuxième notification, celle-ci est sans effets juridiques (ATF 127 I 31, 123 III 493, 119 II 149 consid. 2). En l'occurrence, dès lors que la recourante n'a pas retiré la décision qui lui a été adressée en courrier recommandé, on doit considérer que la décision lui a été notifiée le dernier jour du délai de garde, soit le 13 avril 2009. Le délai de recours est donc venu à échéance 30 jours plus tard, soit le 13 mai 2009, de sorte que le recours, déposé formellement le 25 mai 2009, est intervenu tardivement. Le Tribunal de céans ne peut donc que constater son irrecevabilité.</w:t>
      </w:r>
    </w:p>
    <w:p>
      <w:r>
        <w:t>A/2088/2010 - 5/5 -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