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ATAS/1214/2008 vom 29. Oktober 2008</w:t>
      </w:r>
    </w:p>
    <w:p>
      <w:r>
        <w:t>GE Cour de justice, 2008-10-29, FR</w:t>
      </w:r>
    </w:p>
    <w:p>
      <w:r>
        <w:rPr>
          <w:b/>
        </w:rPr>
        <w:t xml:space="preserve">Quelle: </w:t>
      </w:r>
      <w:r>
        <w:t>https://mcp.opencaselaw.ch/entscheid/ge_gerichte_ATAS_1214_2008</w:t>
      </w:r>
    </w:p>
    <w:p>
      <w:r>
        <w:t>FR: GE_GERICHTE ATAS/1214/2008 du 29 octobre 2008</w:t>
      </w:r>
    </w:p>
    <w:p>
      <w:r>
        <w:t>IT: GE_GERICHTE ATAS/1214/2008 del 29 ottobre 2008</w:t>
      </w:r>
    </w:p>
    <w:p>
      <w:pPr>
        <w:pStyle w:val="Heading2"/>
      </w:pPr>
      <w:r>
        <w:t>Erwägungen</w:t>
      </w:r>
    </w:p>
    <w:p>
      <w:r>
        <w:rPr>
          <w:b/>
        </w:rPr>
        <w:t>E. 12</w:t>
      </w:r>
    </w:p>
    <w:p>
      <w:r>
        <w:t>Cette écriture a été communiquée à l’assuré en date du 2 juillet 2008.</w:t>
      </w:r>
    </w:p>
    <w:p>
      <w:r>
        <w:rPr>
          <w:b/>
        </w:rPr>
        <w:t>E. 13</w:t>
      </w:r>
    </w:p>
    <w:p>
      <w:r>
        <w:t>Sur quoi, la cause a été gardée à juger. 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Interjeté dans les forme et délai prévus par la loi, le recours est recevable (art. 56 et 60 LPGA).</w:t>
      </w:r>
    </w:p>
    <w:p>
      <w:r>
        <w:t>A/1737/2008 - 6/10 - 4. Le litige porte sur le droit du recourant à des prestations de l'assurance-invalidité, singulièrement sur son degré d'invalidité. 5. 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un droit aux prestations entrant en considération.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d'une atteinte à la santé psychique suppose la présence d'un diagnostic émanant d'un expert (psychiatre) et s'appuyant lege artis sur les critères d'un système de classification reconnu (ATF 130 V 398 ss consid. 5.3 et consid. 6). 7. Pour pouvoir calculer le degré d'invalidité, l'administration (ou le juge, s'il y a eu un recours) a besoin de documents que le médecin, éventuellement aussi d'autres spécialistes, doivent lui fournir. La tâche du médecin consiste à porter un jugement</w:t>
      </w:r>
    </w:p>
    <w:p>
      <w:r>
        <w:t>A/1737/2008 - 7/10 -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8. En l'espèce, le Dr L__________, médecin traitant, a diagnostiqué un état dépressif chronique d'intensité sévère ainsi qu'un trouble anxieux avec attaques de panique et phobie sociale qui l'empêchent de travailler. La Dresse M__________, psychiatre traitant a quant à elle retenu un trouble dépressif récurrent sévère avec des traits de personnalité anxieuse et obsessionnelle depuis l'adolescence. Elle ne s'est pas prononcée sur la capacité de travail du recourant, mais a indiqué que le pronostic était réservé en raison de la gravité des troubles. En présence d'une atteinte à la santé psychique, c'est à juste titre que l'intimé a ordonné une expertise psychiatrique. Le Dr N__________ a diagnostiqué divers troubles, dont un trouble dépressif majeur récurrent, actuellement de gravité légère, une personnalité immature à fonctionnement passif-dépendant et un isolement psychosocial. L'expert n'a pas relevé une anxiété généralisée, ni d'agoraphobie ou de phobie sociale. Il a expliqué que l'élément essentiel est une personnalité immature et passive-dépendante, avec peut-être quelques traits obsessionnels qui relèvent d'une certaine complaisance et une tendance au parasitisme social. Ces troubles entraînent une incapacité de travail de 20 % dans des activités simples, y compris celle d'aide-bibliothécaire. L'expert indique que ces activités peuvent être</w:t>
      </w:r>
    </w:p>
    <w:p>
      <w:r>
        <w:t>A/1737/2008 - 8/10 - exercées sans diminution de rendement à 80 %, si le recourant en avait la motivation, ce qui reste à démontrer. Des mesures de réadaptation ne sont pas indiquées, le recourant disposant de toues les compétences nécessaires. Le Tribunal de céans constate que le rapport d'expertise réalisé par le Dr N__________ remplit tous les réquisits exigés par la jurisprudence pour se voir attribuer pleine valeur probante. L'expert s'est fondé sur le dossier médical complet, il a effectué un examen clinique, le rapport comporte une anamnèse détaillée et les plaintes du recourant ont été prises en compte. Enfin, l'expert, après avoir posé ses diagnostics au regard d'une classification reconnue, a procédé à une discussion et appréciation du cas dont les conclusions apparaissent claires et bien motivées. L'appréciation divergente du Dr L__________, au demeurant non psychiatre, ne permettent pas au Tribunal de céans de s'écarter des conclusions de l'expertise. Quant aux griefs formulés par le recourant à l'encontre du Dr N__________, ils ne sont pas de nature à remettre en cause la valeur probante de son expertise. Si le recourant a pu ressentir négativement certaines remarques ou questions de l'expert, il convient de relever que les points négatifs relevés par ce dernier (tendance au parasitisme social) sont à rattacher aux traits de sa personnalité. Il convient en conséquence de retenir que le recourant présente une capacité de travail de 80 % dans toute activité adaptée, y compris dans son activité habituelle. 9. Reste à examiner si le recourant peut prétendre à des mesures de réadaptation.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w:t>
      </w:r>
    </w:p>
    <w:p>
      <w:r>
        <w:t>A/1737/2008 - 9/10 -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En l'espèce, il convient de relever que le recourant dispose d'une solide formation qui lui permet d'exercer sans difficulté une activité adaptée et qu'une mesure de réadaptation ne permettrait pas d'améliorer sa capacité de gain. En revanche, il a la possibilité de solliciter une aide au placement (art. 18 LAI). 10. Mal fondé, le recours est rejeté. 11. Un émolument de 200 fr. est mis à charge du recourant, qui succombe (cf. art. 69 al. 1bis LAI).</w:t>
      </w:r>
    </w:p>
    <w:p>
      <w:r>
        <w:t>A/1737/2008 - 10/10 -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