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ATAS/1213/2021 vom 25. November 2021</w:t>
      </w:r>
    </w:p>
    <w:p>
      <w:r>
        <w:t>GE Cour de justice, 2021-11-25, FR</w:t>
      </w:r>
    </w:p>
    <w:p>
      <w:r>
        <w:rPr>
          <w:b/>
        </w:rPr>
        <w:t xml:space="preserve">Quelle: </w:t>
      </w:r>
      <w:r>
        <w:t>https://mcp.opencaselaw.ch/entscheid/ge_gerichte_ATAS_1213_2021</w:t>
      </w:r>
    </w:p>
    <w:p>
      <w:r>
        <w:t>FR: GE_GERICHTE ATAS/1213/2021 du 25 novembre 2021</w:t>
      </w:r>
    </w:p>
    <w:p>
      <w:r>
        <w:t>IT: GE_GERICHTE ATAS/1213/2021 del 25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39 al. 2, 56 à 61 LPGA ; art. 62 al. 1 let. a et art. 89B al. 1 de la loi sur la procédure administrative du 12 septembre 1985 [LPA – E 5 10]).</w:t>
      </w:r>
    </w:p>
    <w:p>
      <w:r>
        <w:rPr>
          <w:b/>
        </w:rPr>
        <w:t>E. 3</w:t>
      </w:r>
    </w:p>
    <w:p>
      <w:r>
        <w:t>Le litige - qui portait sur la question de savoir si l'employeur avait envoyé en temps utile sa demande d'indemnité pour RHT concernant le mois de mars 2020 - n’a plus lieu d’être, vu la position de l'intimée, qui a reconnu que tel était le cas, ce dont il convient de prendre acte. L'indemnité pour RHT doit donc être accordée pour mars 2020, pour autant que les autres conditions soient réunies, ce qu'il reviendra à la caisse de chômage d’examiner.</w:t>
      </w:r>
    </w:p>
    <w:p>
      <w:r>
        <w:rPr>
          <w:b/>
        </w:rPr>
        <w:t>E. 4</w:t>
      </w:r>
    </w:p>
    <w:p>
      <w:r>
        <w:t>En ce sens, le recours est admis.</w:t>
      </w:r>
    </w:p>
    <w:p>
      <w:r>
        <w:t>A/2330/2021 - 4/4 -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