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ATAS/1213/2019 vom 30. Dezember 2019</w:t>
      </w:r>
    </w:p>
    <w:p>
      <w:r>
        <w:t>GE Cour de justice, 2019-12-30, FR</w:t>
      </w:r>
    </w:p>
    <w:p>
      <w:r>
        <w:rPr>
          <w:b/>
        </w:rPr>
        <w:t xml:space="preserve">Quelle: </w:t>
      </w:r>
      <w:r>
        <w:t>https://mcp.opencaselaw.ch/entscheid/ge_gerichte_ATAS_1213_2019</w:t>
      </w:r>
    </w:p>
    <w:p>
      <w:r>
        <w:t>FR: GE_GERICHTE ATAS/1213/2019 du 30 décembre 2019</w:t>
      </w:r>
    </w:p>
    <w:p>
      <w:r>
        <w:t>IT: GE_GERICHTE ATAS/1213/2019 del 30 dicembre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S'agissant d'une inadvertance évidente, il y a lieu d'admettre la demande en rectification, celle-ci ne modifiant en rien la substance de l’arrêt du 6 décembre 2018. Il convient donc de procéder à la rectification dans le sens requis.</w:t>
      </w:r>
    </w:p>
    <w:p>
      <w:r>
        <w:t>A/4223/2017 - 8/8 - PAR CES MOTIFS, LA CHAMBRE DES ASSURANCES SOCIALES : Statuant À la forme : 1. Déclare recevable la requête en rectification de l’arrêt du 6 décembre 2018 (ATAS/1171/2018) de la chambre des assurances sociales déposée par le recourant le 21 mai 2019. Au fond : 2. L’admet. 3. Rectifie le chiffre 4 du dispositif de cet arrêt dans le sens suivant: « Renvoie la cause à l’intimé pour calcul des prestations dues depuis le 1er août 2012 ». 4. Dit qu’il n’est pas perçu d’émolument.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