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ATAS/1213/2018 vom 20. Dezember 2018</w:t>
      </w:r>
    </w:p>
    <w:p>
      <w:r>
        <w:t>GE Cour de justice, 2018-12-20, FR</w:t>
      </w:r>
    </w:p>
    <w:p>
      <w:r>
        <w:rPr>
          <w:b/>
        </w:rPr>
        <w:t xml:space="preserve">Quelle: </w:t>
      </w:r>
      <w:r>
        <w:t>https://mcp.opencaselaw.ch/entscheid/ge_gerichte_ATAS_1213_2018</w:t>
      </w:r>
    </w:p>
    <w:p>
      <w:r>
        <w:t>FR: GE_GERICHTE ATAS/1213/2018 du 20 décembre 2018</w:t>
      </w:r>
    </w:p>
    <w:p>
      <w:r>
        <w:t>IT: GE_GERICHTE ATAS/1213/2018 del 20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degré d’invalidité de la recourante au-delà de septembre 2013 et sur le bien-fondé de la décision de l’intimé de supprimer sa rente au 31 décembre 2013.</w:t>
      </w:r>
    </w:p>
    <w:p>
      <w:r>
        <w:rPr>
          <w:b/>
        </w:rPr>
        <w:t>E. 5</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Tout changement important des</w:t>
      </w:r>
    </w:p>
    <w:p>
      <w:r>
        <w:t>A/373/2018 - 12/17 -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A/373/2018 - 13/17 -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w:t>
      </w:r>
    </w:p>
    <w:p>
      <w:r>
        <w:t>A/373/2018 - 14/17 -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w:t>
      </w:r>
    </w:p>
    <w:p>
      <w:r>
        <w:t>A/373/2018 - 15/17 - consid. 4.1, in SVR 2011 IV n° 6 p. 17 ; ATF 9C_833/2007 du 4 juillet 2008, in Plädoyer 2009/1 p. 70; arrêt du Tribunal fédéral des assurances I 35/03 du 24 octobre 2003 consid. 4.3 et les références, in Plädoyer 2004/3 p. 64 ; arrêt du Tribunal fédéral 9C_512/2013 du 16 janvier 2014 consid. 5.2.1).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la recourante allègue ne pas se sentir capable d’exercer la moindre activité lucrative, même adaptée, à quelque taux que ce soit. L’intimé, lui, considère qu’elle est apte à exercer à 75% une activité adaptée et ce, depuis septembre 2013. Il se fonde pour cela sur les conclusions de deux experts successifs, les Drs H______ et I______. Il convient dès lors d’examiner la valeur probante à accorder aux rapports de ces deux médecins pour voir s’il est bien-fondé de considérer qu’une amélioration de l’état de l’assurée lui aurait permis, à compter de septembre 2013, d’exercer une</w:t>
      </w:r>
    </w:p>
    <w:p>
      <w:r>
        <w:t>A/373/2018 - 16/17 - activité adaptée aux nombreuses limitations fonctionnelles retenues par ces deux médecins. Le rapport d’examen du Dr H______ se fonde sur une anamnèse détaillée, un examen clinique de la recourante et tient compte des plaintes rapportées par celle- ci. Il a été établi en pleine connaissance du dossier et ses conclusions, dûment motivées, ne laissent pas apparaître de contradictions. En particulier, cet examen tient compte des nouveaux éléments apportés par le généraliste et le rhumatologue traitants et énumère toutes les limitations fonctionnelles à mettre objectivement en lien avec les atteintes somatiques constatées. La fibromyalgie en tant que telle n’est évoquée qu’en tant qu’elle vient aggraver la situation générale. Il y a donc lieu de reconnaître à ce rapport pleine valeur probante, d'autant plus que l'ensemble des considérations émises par le médecin examinateur, au demeurant titulaire d'une spécialisation en rhumatologie, a été confirmé par la suite par le Dr I______, dont le rapport, lui aussi, répond aux réquisits jurisprudentiels rappelés supra. A noter que les éléments évoqués par le médecin traitant après la première expertise, qu’il reprochait au Dr H______ de n’avoir pas pris en compte, ne permettent pas de s’écarter des conclusions de celui-ci. On voit en effet mal en quoi l’hypertension artérielle - dont le Dr I______ a souligné qu’elle n’avait entraîné aucune décompensation cardiaque ou cardiopathie - pourrait justifier une incapacité de travail. De même, les apnées évoquées ont été qualifiées de peu symptomatiques. Les troubles digestifs évoqués, peu significatifs, sont quant à eux traités par médicaments et ce, à satisfaction. La fatigabilité invoquée par le médecin traitant n’a pas été alléguée par la recourante, pas plus qu’elle n’a été observée par le Dr I______. Enfin, l’assurée ne suit aucun traitement psychique, que ce soit sous la forme de médication ou de suivi spécialisé. Aucun élément objectif médical n’a ainsi été amené par la recourante, qui permettrait de douter des conclusions des experts successifs. Quant à l’appréciation des EPI, on rappellera que l'avis dûment motivé d'un médecin prime pour déterminer la capacité de travail raisonnablement exigible d’un assuré. Dans ces circonstances, c’est à juste titre que l’intimé, suivant en cela l’avis de deux experts et de son SMR, a considéré que l’assurée était apte, depuis septembre 2013, à exercer une activité adaptée à 75%. Pour le reste, la Cour constate que le calcul du degré d’invalidité - au demeurant non contesté - n’est pas critiquable. Elle relève que, même en appliquant une réduction maximale de 25% au salaire d’invalide, le degré d’invalidité ne serait pas suffisant pour ouvrir droit à une rente. Eu égard aux considérations qui précèdent, le recours est rejeté.</w:t>
      </w:r>
    </w:p>
    <w:p>
      <w:r>
        <w:t>A/373/2018 - 17/17 -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