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ATAS/1213/2014 vom 20. November 2014</w:t>
      </w:r>
    </w:p>
    <w:p>
      <w:r>
        <w:t>GE Cour de justice, 2014-11-20, FR</w:t>
      </w:r>
    </w:p>
    <w:p>
      <w:r>
        <w:rPr>
          <w:b/>
        </w:rPr>
        <w:t xml:space="preserve">Quelle: </w:t>
      </w:r>
      <w:r>
        <w:t>https://mcp.opencaselaw.ch/entscheid/ge_gerichte_ATAS_1213_2014</w:t>
      </w:r>
    </w:p>
    <w:p>
      <w:r>
        <w:t>FR: GE_GERICHTE ATAS/1213/2014 du 20 novembre 2014</w:t>
      </w:r>
    </w:p>
    <w:p>
      <w:r>
        <w:t>IT: GE_GERICHTE ATAS/1213/2014 del 20 novembre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 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 tion de sortie, augmentée des avoirs de libre passage existant éventuellement au moment de la conclusion du mariage (cf. art. 24 LFLP). Pour ce calcul, on ajoute à la prestation de sortie et à l'avoir de libre passage existant au moment de la conclu-</w:t>
      </w:r>
    </w:p>
    <w:p>
      <w:r>
        <w:t>A/1972/2014 4/5 sion du mariage les intérêts courus jusqu'au moment du divorce (ATF 128 V 230; ATF 129 V 444). S'agissant de ces intérêts, il convient de se référer aux art. 8a de l'ordonnance fédérale sur le libre passage dans la prévoyance professionnelle vieil- 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 tions de sortie acquises durant le mariage par les demandeurs. Les dates pertinentes sont, d’une part, le 13 janvier 2006, date du mariage, d’autre part le 23 mai 2014, date à laquelle le jugement de divorce est devenu exécutoire.</w:t>
      </w:r>
    </w:p>
    <w:p>
      <w:r>
        <w:rPr>
          <w:b/>
        </w:rPr>
        <w:t>E. 4</w:t>
      </w:r>
    </w:p>
    <w:p>
      <w:r>
        <w:t>Selon les documents produits, la prestation acquise pendant le mariage par le de- mandeur s'élève à CHF 15'581.60 (39'018.75- 19'993.95 - 1'007.80- 2'435.40), tan- dis que celle acquise par la demanderesse atteint la somme de CHF 1'685.20, les in- térêts ayant déjà été calculés par les institutions de prévoyance défenderesses. Ainsi le demandeur doit à son ex-épouse le montant de CHF 7'790.80 (15'581.60 : 2) alors qu'elle lui doit celui de CHF 842.60 (1'685.20 : 2), de sorte que c’est en défi- nitive le demandeur qui doit à son ex-épouse le montant de CHF 6'948.20 (7'790.80 - 842.60).</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A/1972/2014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