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ATAS/1212/2013 vom 4. Dezember 2013</w:t>
      </w:r>
    </w:p>
    <w:p>
      <w:r>
        <w:t>GE Cour de justice, 2013-12-04, FR</w:t>
      </w:r>
    </w:p>
    <w:p>
      <w:r>
        <w:rPr>
          <w:b/>
        </w:rPr>
        <w:t xml:space="preserve">Quelle: </w:t>
      </w:r>
      <w:r>
        <w:t>https://mcp.opencaselaw.ch/entscheid/ge_gerichte_ATAS_1212_2013</w:t>
      </w:r>
    </w:p>
    <w:p>
      <w:r>
        <w:t>FR: GE_GERICHTE ATAS/1212/2013 du 4 décembre 2013</w:t>
      </w:r>
    </w:p>
    <w:p>
      <w:r>
        <w:t>IT: GE_GERICHTE ATAS/1212/2013 del 4 dicembre 2013</w:t>
      </w:r>
    </w:p>
    <w:p>
      <w:pPr>
        <w:pStyle w:val="Heading2"/>
      </w:pPr>
      <w:r>
        <w:t>Erwägungen</w:t>
      </w:r>
    </w:p>
    <w:p>
      <w:r>
        <w:rPr>
          <w:b/>
        </w:rPr>
        <w:t>E. 15</w:t>
      </w:r>
    </w:p>
    <w:p>
      <w:r>
        <w:t>avril 2013. A ce jour, l’intimée ne s’est pas formellement prononcée sur cette opposition. Par conséquent, la question de la restitution des prestations ne fait pas partie de l’objet du litige. Il en va de même de la question du droit aux allocations de formation professionnelle dès juillet 2013. 4. a. S’agissant de la requête de suspension du présent recours jusqu’à droit jugé dans la procédure d’opposition à la décision du 18 mars 2013, il sied de relever qu’en vertu de l’art. 14 al. 1 de la loi sur la procédure administrative du 12 septembre 1985 (LPA; RSG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Or, en l’espèce, c’est la décision sur opposition qui dépend du sort du présent recours et non pas l’inverse. Par conséquent, il n’y a pas lieu de suspendre le recours. b. L’intimée requiert la suspension de la procédure d’opposition jusqu’à droit connu dans la présente procédure. Cependant, la procédure d’opposition ne peut être suspendue que par l’intimée, dans la mesure où elle relève de la compétence de celle-ci. Cette requête n’est donc pas recevable. 5. 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Selon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w:t>
      </w:r>
    </w:p>
    <w:p>
      <w:r>
        <w:t>A/1190/2013 - 7/10 - duquel l'enfant atteint l'âge de 16 ans jusqu'à la fin de sa formation, mais au plus tard jusqu'à la fin du mois au cours duquel il atteint l'âge de 25 ans. 6. L’art. 25 al. 5 LAVS confère au Conseil fédéral la compétence de définir ce que l’on entend par formation.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(al. 3). Le commentaire des modifications du RAVS au 1er janvier 2011 publié sur le site de l’OFFICE DES ASSURANCES SOCIALES (http://www.bsv.admin.ch/themen /ahv/00016/index.html?lang=fr) précise au sujet du nouvel art. 49bis RAVS qu’il s’agit-là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7. a. En l’espèce, le fils du recourant a achevé son master de chimie en septembre 2012. Dans la mesure où il s’est attelé dès cette date à rechercher une place de doctorant, il n’est pas inutile de rappeler que la rédaction d’une thèse de doctorat correspond à la notion de formation visée à l’art. 25 LAVS (ATF 109 V 104 consid. 1b). Cela</w:t>
      </w:r>
    </w:p>
    <w:p>
      <w:r>
        <w:t>A/1190/2013 - 8/10 - étant, les démarches du fils du recourant n’ont pas abouti immédiatement et celui-ci n’était pas inscrit à l’université d’octobre 2012 au 18 février 2013. Partant, on ne peut considérer cette période autrement que comme une interruption de la formation du fils du recourant au sens de l’art. 49ter al. 2 RAVS, quand bien même elle résulte de circonstances indépendantes de sa volonté. Ainsi, en l’absence de formation, le recourant n’avait pas droit à des allocations de formation professionnelle pour cette période. b. Il y a encore lieu de déterminer si le stage accompli de février à juillet 2013 est une formation au sens de l’art. 49bis RAVS. Selon le chiffre 3361 des Directives concernant les rentes de l’assurance vieillesse, survivants et invalidité fédérale publiées par l’OFAS (DR) dans leur teneur en force dès le 1er janvier 2012, un stage pratique est assimilé à une formation si, légalement ou réglementairement, son accomplissement est une condition indispensable pour accéder à une formation donnée ou passer un examen, ou obtenir un diplôme ou un certificat de fin d‘apprentissage. Si ces conditions ne sont pas remplies, un stage pratique est néanmoins assimilé à une formation si le stage est de fait requis pour la formation et qu’au début de celui-ci, l’intéressé ait effectivement l’intention d’accomplir la formation envisagée, et si le stage dure au maximum une année dans l’entreprise concernée. Le Tribunal fédéral a relevé que l’assimilation à une formation d’un stage pratique requis de facto requiert que l’on distingue un tel stage d’une activité lucrative faiblement rémunérée. Pour répondre à cette question, il y a lieu de se fonder sur la nécessité de ces stages pour la profession visée. Si on considère que les stages nécessaires font partie de la formation, il est secondaire que ceux-ci soient légalement ou réglementairement obligatoires ou simplement indispensables en pratique. La réglementation prévue dans les directives constitue ainsi une interprétation adaptée aux cas concrets des articles pertinents du RAVS. Il n’existe aucun motif de s’écarter de cette concrétisation des dispositions réglementaires. Notre Haute Cour a en effet souligné que si la tendance actuelle des entreprises, qui consiste à exiger de futurs apprentis que ceux-ci fassent d’abord un stage avant de leur proposer un contrat d’apprentissage, est préoccupante du point de vue de la formation, les assurés n’ont pas à en subir les conséquences néfastes (ATF 139 V 122 consid. 4.3). Or, en l’espèce, si l’expérience du fils du recourant dans un laboratoire est selon toute vraisemblance un sérieux atout pour décrocher un poste de doctorant, il ne s’agit pas là d’une condition sine qua non d’accès à cette formation. On en veut notamment pour preuve le courrier du 9 octobre 2012 que lui a adressé l’EPFL, qui ne subordonnait pas son admission au programme de doctorat à l’accomplissement préalable d’un stage. Le fait qu’entre deux candidats aux qualifications pour le reste équivalentes, un directeur de thèse préfèrera vraisemblablement le plus souvent celui qui a pu acquérir certaines connaissances pratiques – par exemple dans le cadre d’un stage non rémunéré – ne suffit pas à considérer qu’il s’agit-là d’une formation obligatoire en pratique. On soulignera d’ailleurs qu’on ne se trouve pas</w:t>
      </w:r>
    </w:p>
    <w:p>
      <w:r>
        <w:t>A/1190/2013 - 9/10 - ici dans la même situation que celle qui a donné lieu à la jurisprudence précitée, où le stage est requis par l’entreprise auprès de laquelle l’intéressé poursuivra par la suite sa formation. En outre, l’exigence relative à la préparation systématique à un objectif de formation au moyen d’une formation régulière ne paraît pas réalisée en l’espèce. Le Pr L__________ ne mentionne en effet pas de programme de formation lié au stage, ce que tend également à corroborer la durée indéterminée du stage, auquel le fils du recourant a mis un terme lorsque ses démarches visant à l’obtention d’un poste de doctorant ont abouti. De surcroît, même si le recourant a trouvé un programme de doctorat dans un délai relativement bref, il aurait tout aussi bien pu n’en pas trouver pendant deux ans, ou n’en trouver jamais. Il s’agit à l’évidence d’un temps d’attente et non pas d’étude. Eu égard à ces éléments, la position de l’intimée, qui a nié le droit aux allocations de formation professionnelle jusqu’à juin 2013, ne prête pas flanc à la critique. 8. Cela étant, le recours sera rejeté. 9. Pour le surplus, la procédure est gratuite (art. 61 let. a LPGA).</w:t>
      </w:r>
    </w:p>
    <w:p>
      <w:r>
        <w:t>A/1190/2013 - 10/10 - PAR CES MOTIFS, LA CHAMBRE DES ASSURANCES SOCIALES : Statuant</w:t>
      </w:r>
    </w:p>
    <w:p>
      <w:r>
        <w:t>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