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ATAS/120/2017 vom 20. Februar 2017</w:t>
      </w:r>
    </w:p>
    <w:p>
      <w:r>
        <w:t>GE Cour de justice, 2017-02-20, FR</w:t>
      </w:r>
    </w:p>
    <w:p>
      <w:r>
        <w:rPr>
          <w:b/>
        </w:rPr>
        <w:t xml:space="preserve">Quelle: </w:t>
      </w:r>
      <w:r>
        <w:t>https://mcp.opencaselaw.ch/entscheid/ge_gerichte_ATAS_120_2017</w:t>
      </w:r>
    </w:p>
    <w:p>
      <w:r>
        <w:t>FR: GE_GERICHTE ATAS/120/2017 du 20 février 2017</w:t>
      </w:r>
    </w:p>
    <w:p>
      <w:r>
        <w:t>IT: GE_GERICHTE ATAS/120/2017 del 20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A/1834/2016 - 8/15 -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Le délai de recours est de 30 jours (art. 60 al. 1 LPGA). Interjeté dans la forme et le délai prévus par la loi, le recours est recevable, en vertu des art. 56ss LPGA.</w:t>
      </w:r>
    </w:p>
    <w:p>
      <w:r>
        <w:rPr>
          <w:b/>
        </w:rPr>
        <w:t>E. 4</w:t>
      </w:r>
    </w:p>
    <w:p>
      <w:r>
        <w:t>Il convient préalablement de déterminer l’objet du litige.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querellée porte uniquement sur le refus d’une rente d’invalidité, à l'exclusion notamment d’éventuelles mesures de réadaptation. Ainsi, en tant que la recourante conclut à ce que la chambre de céans constate qu’elle a droit aux prestations de l’assurance-invalidité – éventuellement autres qu’une rente d’invalidité –, ses conclusions excèdent l’objet du litige. En conséquence, celui-ci porte exclusivement sur le droit de la recourante à une rente d’invalidité, plus particulièrement sur son degré d’invalidité dans la sphère ménagère.</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w:t>
      </w:r>
    </w:p>
    <w:p>
      <w:r>
        <w:t>A/1834/2016 - 9/15 -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Selon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(arrêt du Tribunal fédéral 9C_514/2014 du 23 décembre 2014 consid. 4).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sur l'assurance-invalidité [RAI; RS 831.201]). Par travaux habituels, il faut notamment entendre l'activité usuelle dans le ménage, l'éducation des enfants ainsi que toute activité artistique ou d'utilité publique (cf. art. 27 RAI; ATF 137 V 334 consid. 3.1 et 3.1.1).</w:t>
      </w:r>
    </w:p>
    <w:p>
      <w:r>
        <w:rPr>
          <w:b/>
        </w:rPr>
        <w:t>E. 8</w:t>
      </w:r>
    </w:p>
    <w:p>
      <w:r>
        <w:t>a. Une enquête ménagère effectuée au domicile de la personne constitue en règle générale une base appropriée et suffisante pour évaluer les empêchements dans</w:t>
      </w:r>
    </w:p>
    <w:p>
      <w:r>
        <w:t>A/1834/2016 - 10/15 -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b/aa.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(arrêt du Tribunal fédéral des assurances I 308/04 du 14 janvier 2005 consid. 6.2.1 et les références). b/bb. Il est vrai qu’un rapport d’enquête ménagère est avant tout conçu pour déterminer l’étendue des restrictions physiques, raison pour laquelle son caractère en principe probant ne peut toujours être admis sans réserve lorsqu’une personne souffre de troubles psychiques. Cependant, même dans cette hypothèse, la valeur probante d’un tel rapport doit être en principe admise lorsqu’il s’agit d’évaluer une invalidité reposant sur des motifs psychiques, c’est-à-dire lorsque des troubles psychiques apparaissent au premier plan. Toutefois, lorsque les résultats de l’enquête à domicile apparaissent en contradiction avec les avis médicaux – émis par des spécialistes – sur la capacité d’un assuré d’accomplir ses travaux habituels, il convient en principe d’accorder plus de poids à l’avis desdits spécialistes qu’au rapport d’enquête ménagère. En effet, pour la personne chargée de l’enquête ménagère, il n’est souvent possible qu’en partie d’apprécier l’étendue d’une affection psychique ainsi que les restrictions qui en découlent (arrêts du Tribunal fédéral 8C_620/2011 du 8 février 2012 consid. 4 et 9C_201/2011 du 5 septembre 2011 consid. 2 et les références). c. Selon la pratique administrative ressortant des chiffres 3086ss de la Circulaire sur l’invalidité et l’impotence dans l’assurance-invalidité, dans sa version dès le 1er janvier 2015 (CIIAI ; état au 1er mars 2016), les travaux d’une personne non</w:t>
      </w:r>
    </w:p>
    <w:p>
      <w:r>
        <w:t>A/1834/2016 - 11/15 - invalide qui s’occupe du ménage constituent les pourcentages suivants de son activité: tenue du ménage (planification, organisation, répartition du travail, contrôle) : entre 2 % et 5 % ; alimentation (préparation, cuisson, service du repas, nettoyage de la cuisine, provisions) : entre 10 % et 50 %, entretien du logement (épousseter, passer l’aspirateur, entretenir les sols, nettoyer les vitres, faire les lits) : entre 5 % et 20 %, achats et courses diverses (poste, assurances, services officiels) : entre 5 % et 10 %, lessive et entretien des vêtements (laver, étendre et plier le linge, repasser, raccommoder, nettoyer les chaussures) : entre 5 % et 20 %, soins aux enfants ou aux autres membres de la famille: entre 0 % et 30 %, divers (par exemple soins infirmiers, entretien des plantes et du jardin, garde des animaux domestiques, confection et transformation de vêtements; activité d’utilité publique, formation complémentaire, création artistique) à l’exclusion des occupations purement de loisirs: entre 0 % et 50 %. La part en pour-cent de l'activité ménagère accordée à chacun des postes en fonction de l'échelonnement prévu par la CIIAI relève du pouvoir d'appréciation, qui dépend d'une évaluation des circonstances concrètes de la situation en cause et n'est soumis à l'examen du juge de dernière instance que sous l'angle de l'excès ou de l'abus du pouvoir d'appréciation. En revanche, la constatation d'un empêchement pour les différents postes est une question de fait (arrêt du Tribunal fédéral 9C_19/2012 du 4 octobre 2012 consid. 5.1).</w:t>
      </w:r>
    </w:p>
    <w:p>
      <w:r>
        <w:t>d. Comme les autres assurés, une personne qui s’occupe du ménage doit faire tout ce que l’on peut raisonnablement attendre d’elle afin d’améliorer sa capacité de travail et de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il peut être exigé qu’elle répartisse mieux son travail, soit en aménageant des pauses, soit en repoussant les travaux peu urgents, et qu’elle ait recours à l’aide des membres de sa famille (Michel VALTERIO, Droit de l'assurance-vieillesse et survivants [AVS] et de l'assurance-invalidité [AI], 2011, p. 578 n. 2156).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9</w:t>
      </w:r>
    </w:p>
    <w:p>
      <w:r>
        <w:t>En l'espèce, l’enquête réalisée par l’intimé satisfait aux exigences dégagées par la jurisprudence pour se voir reconnaître valeur probante. En effet, elle a été établie au domicile de la recourante en présence de cette dernière et de son mari – qui a assuré la traduction – et elle détaille précisément les différentes tâches ménagères et la</w:t>
      </w:r>
    </w:p>
    <w:p>
      <w:r>
        <w:t>A/1834/2016 - 12/15 - manière dont le foyer les a assumées avant et après l’atteinte de la recourante. La recourante ne fait du reste pas valoir que cette enquête ne serait pas conforme à ses déclarations. En ce qui concerne les empêchements retenus, la recourante se réfère au rapport du 28 août 2013 du Dr B______, plus particulièrement aux travaux qui peuvent encore être exigés d’elle compte tenu des limitations dues à son état de santé. Elle soutient que son incapacité d’exercer une activité en position debout, de se pencher ou de s’accroupir rendrait totalement impossible le fait de s’occuper de l’entretien du logement, de la lessive et du repassage et la limiterait fortement pour faire les courses, cuisiner ou faire la vaisselle. Ces arguments ne sauraient être suivis pour plusieurs motifs. En premier lieu, il ne ressort pas du rapport du Dr B______ que la recourante ne pourrait pas exercer d’activités en position debout. En effet, ce médecin indique qu’elle ne pouvait pas exercer d’activités « uniquement en position debout ». En second lieu, l’intimé a non seulement repris à son compte les limitations fonctionnelles mentionnées par le Dr B______ – en retenant via le rapport du SMR du 15 octobre 2015, soit avant l’enquête ménagère, que les limitations fonctionnelles concernaient l’alternance des positions assise et debout, le fait de ne pas se pencher, de ne pas travailler accroupi ou à genoux, de ne pas monter sur une échelle/échafaudage –, il les a même admises plus généreusement en estimant, contrairement au médecin traitant, que la recourante ne pouvait pas effectuer de rotation en position assise/debout, ni monter les escaliers ni porter de charges supérieures à 5 kg (contre 5-10 kg pour le Dr B______). En troisième lieu, les incapacités alléguées par la recourante sont en contradiction avec les constatations de l’enquêtrice, fondées sur les déclarations de l’intéressée au moment de l’enquête. S’agissant de l’entretien du logement, il en ressort qu’elle « peut passer l’aspirateur et faire le nettoyage à sa hauteur, son époux l’aide pour faire ce qui est en hauteur ou demande une position accroupie ». Il est également indiqué, à propos de la lessive et de l’entretien des vêtements, « qu’elle peut étendre le linge et le plier, ranger » et qu’elle « aide pour les grandes pièces comme les draps » ou encore, pour ce qui est des emplettes et courses diverses, qu’elle « continue à aller à la poste si son époux le demande ». Dans ce contexte, la chambre de céans relèvera encore que le Tribunal fédéral a considéré dans plusieurs arrêts relatifs à des assurés n’exerçant pas/plus d’activité lucrative que ceux-ci disposaient de plus de temps pour aménager leurs tâches ménagères avec les pauses nécessaires (arrêts du Tribunal fédéral des assurances I 583/02 du 2 mai 2003 consid. 4.1 et I 511/00 du 22 février 2001 consid. 3d). Tel est également le cas ici. Si l’atteinte à la santé entraîne certes des douleurs et de la fatigue (cf. rapport du Dr B______ du 28 août 2013), l’enquêtrice en a tenu compte en estimant que même si la recourante avait mal au dos, changeait régulièrement de position et était limitée dans ses activités du fait de ses difficultés respiratoires (cf. point 5.2 de l’enquête ménagère), elle devait pouvoir exécuter elle-même la plupart des travaux ne</w:t>
      </w:r>
    </w:p>
    <w:p>
      <w:r>
        <w:t>A/1834/2016 - 13/15 - demandant pas de force particulière (travaux légers) ou de position fléchie, quitte à fractionner son travail et à se ménager des périodes de repos (cf. points 5.2 et 5.4 de l’enquête ménagère). Dans ces circonstances, on ne saurait critiquer l’étendue des empêchements admis par l’enquêtrice, compris dans une fourchette de 25 à 50%. De plus, ces taux apparaissent compatibles avec les affections mentionnées par le Dr B______ et tiennent compte des limitations fonctionnelles retenues sur le plan physique par ce médecin et le SMR. Ainsi, le rapport du Dr B______ n’est pas de nature à remettre en cause la fiabilité des conclusions du rapport d’enquête ménagère. Quant au rapport de Mme D______, il n’en ressort pas que les troubles du sommeil, l’anxiété, la culpabilité et les symptômes dépressifs empêcheraient la recourante d’accomplir ses travaux habituels, à plus forte raison que les troubles en question ont été observés au cours d’un bref suivi de trois mois en 2013. Du reste, même si un état dépressif et un trouble de l’adaptation devaient subsister à ce jour comme l’indique le Dr B______, le SMR en a tenu compte dans son avis du 15 octobre 2015 en retenant une fragilité psychologique et un manque de motivation. En outre, dans la mesure où l’enquête ménagère intègre le fait que la recourante doit fractionner son travail et se ménager des périodes de repos, on ne saurait dire que ses résultats apparaissent en contradiction avec les rapports de Mme D______ et du Dr B______, ce d’autant que les affections psychiques apparaissent nettement au second plan dans le tableau clinique dressé par ce médecin. Compte tenu de ce qui précède, les résultats du rapport d’enquête ménagère sont cohérents avec les constats médicaux. Dans un second moyen, la recourante reproche à l’intimé de n’avoir jamais mis en œuvre d’expertise médicale, s’écartant ainsi du premier avis émis par le SMR le 28 novembre 2013. En examinant la situation de plus près, il apparaît que les conclusions de ce premier avis du SMR étaient motivées par le fait qu’il convenait de préciser la nature exacte des atteintes à la santé et leurs répercussions fonctionnelles. Dans la mesure où ces deux points sont détaillés de manière précise par le Dr B______ dans son rapport du 28 août 2013, le choix de l’intimé de ne pas diligenter l’expertise pluridisciplinaire qui avait été décidée dans un premier temps n’apparait pas contestable. Enfin, l’exigibilité retenue pour le mari de la recourante – fixée à 27.75% dans l’ensemble – apparaît admissible dès lors que celui-ci est en bonne santé et n’exerce pas d’activité lucrative. Il résulte de ce qui précède qu'on ne saurait faire grief à l'intimé de s'être fondé sur les résultats de l'enquête du 7 décembre 2015 qui concluent à un degré d’invalidité de 12%.</w:t>
      </w:r>
    </w:p>
    <w:p>
      <w:r>
        <w:rPr>
          <w:b/>
        </w:rPr>
        <w:t>E. 10</w:t>
      </w:r>
    </w:p>
    <w:p>
      <w:r>
        <w:t>En tous points mal fondé, le recours doit être rejeté.</w:t>
      </w:r>
    </w:p>
    <w:p>
      <w:r>
        <w:t>A/1834/2016 - 14/15 -</w:t>
      </w:r>
    </w:p>
    <w:p>
      <w:r>
        <w:rPr>
          <w:b/>
        </w:rPr>
        <w:t>E. 11</w:t>
      </w:r>
    </w:p>
    <w:p>
      <w:r>
        <w:t>La recourante, qui succombe, n’a pas droit à des dépens (art. 61 let. g LPGA). La procédure en matière d’assurance-invalidité n’étant pas gratuite (art. 69 al. 1bis LAI), il y a lieu de la condamner au paiement d’un émolument de CHF 200.-.</w:t>
      </w:r>
    </w:p>
    <w:p>
      <w:r>
        <w:t>***</w:t>
      </w:r>
    </w:p>
    <w:p>
      <w:r>
        <w:t>A/1834/2016 - 15/15 -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