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ATAS/120/2016 vom 16. Februar 2016</w:t>
      </w:r>
    </w:p>
    <w:p>
      <w:r>
        <w:t>GE Cour de justice, 2016-02-16, FR</w:t>
      </w:r>
    </w:p>
    <w:p>
      <w:r>
        <w:rPr>
          <w:b/>
        </w:rPr>
        <w:t xml:space="preserve">Quelle: </w:t>
      </w:r>
      <w:r>
        <w:t>https://mcp.opencaselaw.ch/entscheid/ge_gerichte_ATAS_120_2016</w:t>
      </w:r>
    </w:p>
    <w:p>
      <w:r>
        <w:t>FR: GE_GERICHTE ATAS/120/2016 du 16 février 2016</w:t>
      </w:r>
    </w:p>
    <w:p>
      <w:r>
        <w:t>IT: GE_GERICHTE ATAS/120/2016 del 16 febbraio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droit de la caisse de réclamer à l'intéressé la réparation du dommage subi en raison du non-paiement des cotisations paritaires AVS/AI/APG/AC, ainsi que des cotisations AMat et AF, dues par la société de juillet à décembre 2012.</w:t>
      </w:r>
    </w:p>
    <w:p>
      <w:r>
        <w:rPr>
          <w:b/>
        </w:rPr>
        <w:t>E. 5</w:t>
      </w:r>
    </w:p>
    <w:p>
      <w:r>
        <w:t>a) À teneur de l’art. 52 LAVS en vigueur dès le 1er janvier 2003 (introduit par le ch.</w:t>
      </w:r>
    </w:p>
    <w:p>
      <w:r>
        <w:rPr>
          <w:b/>
        </w:rPr>
        <w:t>E. 7</w:t>
      </w:r>
    </w:p>
    <w:p>
      <w:r>
        <w:t>Il convient de déterminer si l’intéressé peut être assimilé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w:t>
      </w:r>
    </w:p>
    <w:p>
      <w:r>
        <w:t>A/696/2015 - 14/21 -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avec signature individuelle, depuis le 23 juillet 2012. Il était, partant, indiscutablement, un organe de la société faillie, de sorte que sa responsabilité peut être engagée au sens de l’art. 52 LAVS.</w:t>
      </w:r>
    </w:p>
    <w:p>
      <w:r>
        <w:t>A/696/2015 - 15/21 -</w:t>
      </w:r>
    </w:p>
    <w:p>
      <w:r>
        <w:rPr>
          <w:b/>
        </w:rPr>
        <w:t>E. 8</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w:t>
      </w:r>
    </w:p>
    <w:p>
      <w:r>
        <w:t>A/696/2015 - 16/21 -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w:t>
      </w:r>
    </w:p>
    <w:p>
      <w:r>
        <w:t>A/696/2015 - 17/21 -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w:t>
      </w:r>
    </w:p>
    <w:p>
      <w:r>
        <w:rPr>
          <w:b/>
        </w:rPr>
        <w:t>E. 9</w:t>
      </w:r>
    </w:p>
    <w:p>
      <w:r>
        <w:t>En l’espèce, l’intéressé considère qu’il n’est pas responsable de la faillite et qu’il n’a pas à répondre des impayés de la société.</w:t>
      </w:r>
    </w:p>
    <w:p>
      <w:r>
        <w:rPr>
          <w:b/>
        </w:rPr>
        <w:t>E. 10</w:t>
      </w:r>
    </w:p>
    <w:p>
      <w:r>
        <w:t>Un administrateur doit surveiller les personnes chargées de la gestion conformément à l’art. 716 CO. En l’espèce, l’intéressé allègue avoir cherché à se renseigner auprès du directeur.</w:t>
      </w:r>
    </w:p>
    <w:p>
      <w:r>
        <w:t>A/696/2015 - 18/21 - Il s’avère toutefois qu’il n’a pas pu participer à l’assemblée générale pour l’année 2012, celle-ci ayant déjà eu lieu lors de son entrée dans la société et qu’il n’a pas eu le temps d’assister à celle pour l’année 2013, la faillite ayant été prononcée en janvier déjà. Il reconnaît ainsi que « je n’ai donc jamais directement eu connaissance de la situation réelle de la société ni de l’état de ses comptes ». Il dit avoir effectué trois visites dans les locaux de la société, mais n’avoir pas pu rencontrer le directeur lors de la première. Force est de constater qu’il ne s’est en réalité pas inquiété du tout de la situation financière de la société. Il est à cet égard symptomatique que lorsque le directeur lui parle des CHF 900'000.- de créances que possède la société, en lui confiant qu’il rencontrait quelques difficultés à en obtenir le paiement, l’intéressé ne lui demande ni explication complémentaire, ni document. Il n’est dès lors pas étonnant que M. I_______ ait déclaré ne pas se souvenir si l’intéressé s’était plaint de ne pas obtenir d’informations de la part du directeur. Il est également intéressant de relever qu’en tant qu’administrateur de la société D_______, l’intéressé « ne cherche pas non plus à approfondir les informations reçues » (cf. procès-verbal du 16 juin 2015). L’intéressé s’est par ailleurs contenté d’une attestation succincte relative à la situation de la société que lui a remise le directeur pour accepter le mandat d’administrateur. On ne peut que qualifier ce comportement de très léger, alors que l’intéressé a reconnu que « j’étais conscient qu’en devenant administrateur, j’allais être inscrit au Registre et devenir « responsable » de la société aux yeux de tiers ». Celui qui appartient au conseil d'administration d'une société et qui ne veille pas au versement des cotisations courantes et à l'acquittement des cotisations arriérées est réputé manquer à ses devoirs. L’intéressé allègue qu’il pensait que cette tâche incombait à la fiduciaire. Il lui appartenait quoi qu’il en soit de s’assurer personnellement du paiement en temps utile des charges sociales.</w:t>
      </w:r>
    </w:p>
    <w:p>
      <w:r>
        <w:rPr>
          <w:b/>
        </w:rPr>
        <w:t>E. 11</w:t>
      </w:r>
    </w:p>
    <w:p>
      <w:r>
        <w:t>L’intéressé a souligné qu’il avait été convenu que le directeur conserverait la maîtrise directe de la gestion de la société et que son propre rôle resterait en arrière- plan. Le directeur est du reste venu confirmer que l’intéressé « n’est pour rien dans cette histoire ». Or, un administrateur, dont la situation est proche de celle de l’homme de paille, ne peut s'exonérer de ses responsabilités légales en invoquant son rôle passif au sein de la société. Commet précisément une négligence grave celui qui accepte un mandat d’administrateur alors qu’il sait pertinemment qu’il ne s’occupera de rien. Le fait que la faillite ne soit due à une quelconque faute de l’intéressé n’est nullement relevant en l’espèce, puisque la faute de celui-ci consiste précisément à</w:t>
      </w:r>
    </w:p>
    <w:p>
      <w:r>
        <w:t>A/696/2015 - 19/21 - ne pas avoir pris les mesures nécessaires afin que la société s’acquitte des cotisations courantes dues.</w:t>
      </w:r>
    </w:p>
    <w:p>
      <w:r>
        <w:rPr>
          <w:b/>
        </w:rPr>
        <w:t>E. 12</w:t>
      </w:r>
    </w:p>
    <w:p>
      <w:r>
        <w:t>Il est vrai qu’il est possible que l’intéressé ait été délibérément choisi en raison de son âge. Il n’en est pas moins vrai que, nonobstant son âge, il a à l’évidence conservé toute sa capacité de discernement. Il y a lieu de rappeler que la mesure de la diligence requise s'apprécie d'après le devoir de diligence que l'on peut et doit en général attendre, en matière de gestion, d'un employeur de la même catégorie que celle de l'intéressé. En l’occurrence, l’intéressé a accepté en toute conscience le rôle d’un homme de paille, de sorte que l’argument de son grand âge ne peut être retenu même si l’on se fondait sur un niveau de diligence très bas.</w:t>
      </w:r>
    </w:p>
    <w:p>
      <w:r>
        <w:rPr>
          <w:b/>
        </w:rPr>
        <w:t>E. 13</w:t>
      </w:r>
    </w:p>
    <w:p>
      <w:r>
        <w:t>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Bien que comprenant que la situation était préoccupante, l’intéressé n’a pas démissionné. M. I_______ le lui avait pourtant conseillé, dans le courant du mois de septembre vraisemblablement. L’intéressé a considéré que « je ne pouvais toutefois pas revenir en arrière puisque j’avais signé. Je ne me suis pas inquiété. (…) C’est à ce moment-là que j’ai essayé de voir le directeur, que « j’ai commencé à bouger » (cf. procès-verbal du 16 juin 2015).</w:t>
      </w:r>
    </w:p>
    <w:p>
      <w:r>
        <w:rPr>
          <w:b/>
        </w:rPr>
        <w:t>E. 14</w:t>
      </w:r>
    </w:p>
    <w:p>
      <w:r>
        <w:t>L’intéressé reproche à la caisse de ne l’avoir interpellé qu’après que la faillite de la société ait été prononcée, de sorte que, selon lui, le comportement de la caisse a été de nature à interrompre la causalité entre sa propre passivité et sa trop grande confiance, d’une part, et la survenance du dommage, d’autre part. Toutefois, lorsque l'employeur est une personne morale, comme c’est le cas en l’occurrence, la responsabilité ne s'étend aux organes qui ont agi en son nom, qu’à titre subsidiaire. Aussi la caisse a-t-elle agi conformément au droit en s’adressant d’abord à la société.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Tel n’est ainsi pas le cas en l’espèce, la caisse n’ayant commis aucune faute.</w:t>
      </w:r>
    </w:p>
    <w:p>
      <w:r>
        <w:rPr>
          <w:b/>
        </w:rPr>
        <w:t>E. 15</w:t>
      </w:r>
    </w:p>
    <w:p>
      <w:r>
        <w:t>L’intéressé insiste sur le fait que le directeur lui aurait dissimulé la réelle situation financière de la société, et plus particulièrement le non-paiement des salaires et des charges sociales. Aussi a-t-il déposé plainte pénale auprès du Ministère public le 27 février 2015. Selon lui,</w:t>
      </w:r>
    </w:p>
    <w:p>
      <w:r>
        <w:t>A/696/2015 - 20/21 - « il est évident que le comportement et les fausses assurances du directeur m’ont conduit à ne pas me renseigner plus avant sur la situation juridique et économique de la société ». Rien dans le dossier ne laisse pourtant penser que le directeur ait délibérément dissimulé des informations à l’intéressé, ou ait cherché à le tromper. Quoi qu’il en soit, déclarer avoir régulièrement pris des nouvelles auprès du directeur et avoir constaté que celui-ci se montrait toujours confiant ne suffit pas.</w:t>
      </w:r>
    </w:p>
    <w:p>
      <w:r>
        <w:rPr>
          <w:b/>
        </w:rPr>
        <w:t>E. 16</w:t>
      </w:r>
    </w:p>
    <w:p>
      <w:r>
        <w:t>S’agissant du montant du dommage, l’intéressé considère qu’il n’a à assumer ni les frais ni intérêts, du fait que la caisse n’a jamais cherché à l’informer directement. Il y a toutefois lieu de rappeler que le montant du dommage dont la caisse peut demander la réparation comprend non seulement les cotisations paritaires, mais également les contributions aux frais d’administration, les intérêts moratoires, les taxes de sommation et les frais de poursuite. L’intéressé ne saurait par ailleurs reprocher à la caisse de ne pas avoir pris contact avec lui avant de lui notifier une décision en réparation du dommage. La responsabilité de l’administrateur est en effet subsidiaire.</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