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ATAS/120/2015 vom 17. Februar 2015</w:t>
      </w:r>
    </w:p>
    <w:p>
      <w:r>
        <w:t>GE Cour de justice, 2015-02-17, FR</w:t>
      </w:r>
    </w:p>
    <w:p>
      <w:r>
        <w:rPr>
          <w:b/>
        </w:rPr>
        <w:t xml:space="preserve">Quelle: </w:t>
      </w:r>
      <w:r>
        <w:t>https://mcp.opencaselaw.ch/entscheid/ge_gerichte_ATAS_120_2015</w:t>
      </w:r>
    </w:p>
    <w:p>
      <w:r>
        <w:t>FR: GE_GERICHTE ATAS/120/2015 du 17 février 2015</w:t>
      </w:r>
    </w:p>
    <w:p>
      <w:r>
        <w:t>IT: GE_GERICHTE ATAS/120/2015 del 17 febbraio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A/2637/2013 - 16/27 -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14 juin 2013 est postérieure à l'entrée en vigueur des modifications de la LAI précitées.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Le délai de recours est de 30 jours (art. 60 al. 1 LPGA). Le recours, interjeté dans la forme prévue par la loi, déposé le 15 août 2013 contre la décision du 14 juin 2013 est recevable compte tenu de la suspension du délai de recours du 15 juillet au 15 août 2013 inclusivement (art. 38 al. 4 let. b et 56 ss LPGA).</w:t>
      </w:r>
    </w:p>
    <w:p>
      <w:r>
        <w:rPr>
          <w:b/>
        </w:rPr>
        <w:t>E. 4</w:t>
      </w:r>
    </w:p>
    <w:p>
      <w:r>
        <w:t>Le litige porte sur la question de savoir si la recourante a droit à des prestations d'invalidité en raison de ses atteintes à la santé.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A/2637/2013 - 17/27 -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 de rente s'il est invalide à 60 % au moins, à une demi-rente s'il est invalide à 50 % au moins, ou à un quart de rente s'il est invalide à 40 % au moins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A/2637/2013 - 18/27 -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w:t>
      </w:r>
    </w:p>
    <w:p>
      <w:r>
        <w:t>A/2637/2013 - 19/27 -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En l'occurrence, il n'est pas contesté par les parties que la recourante présente un état dépressif majeur récurrent de gravité moyenne avec symptômes somatiques, une personnalité dépendante décompensée ainsi qu'une instabilité du genou gauche sur rupture du ligament croisé antérieur en 2005. Les limitations fonctionnelles sont au plan psychique, une symptomatologie dépressive, une aboulie, un ralentissement, une fatigabilité, de fortes tendances régressives, une personnalité dépendante, un manque de confiance en soi, un manque d’autonomie, une absence de tonus psychique, des difficultés adaptatives. Sur le plan physique, la recourante ne peut ni courir ou marcher sur des distances moyennes, ni monter ou descendre des escaliers, des échelles ou des échafaudages, ni marcher en terrain irrégulier, ni porter des charges de plus de 10 kg. En raison de ses atteintes psychiques, sa capacité de travail est nulle dans toute activité (rapport du SMR du 16 mars 2012).</w:t>
      </w:r>
    </w:p>
    <w:p>
      <w:r>
        <w:t>A/2637/2013 - 20/27 - Sont en revanche litigieuses la question du statut (mixte ou uniquement de ménagère) de la recourante, ainsi que celle des taux d’empêchement de la recourante dans l’accomplissement de ses tâches ménagères.</w:t>
      </w:r>
    </w:p>
    <w:p>
      <w:r>
        <w:rPr>
          <w:b/>
        </w:rPr>
        <w:t>E. 11</w:t>
      </w:r>
    </w:p>
    <w:p>
      <w:r>
        <w:t>a. L'intimé a retenu un statut de ménagère à 100 %, ce que conteste la recourante en faisant valoir que sans atteinte à la santé, elle aurait exercé une activité lucrative à 25 % (selon son recours du 15 août 2013), ou au moins à mi-temps (selon son écriture du 11 juillet 2014), et ce vraisemblablement dans le domaine de la garde d'enfants. À cet égard, la recourante fait valoir, dans son écriture du 11 juillet 2014, qu'elle a travaillé à plein temps pendant quatre ans (de 2003 à 2007) en gardant la fille de sa cousine avant d'être atteinte dans sa santé. b. La chambre de céans constate que cette allégation entre toutefois en contradiction avec plusieurs déclarations de la recourante. En effet, dans sa demande de prestations datée du 1er novembre 2009, la recourante n'a fait état d'aucune activité lucrative au cours des trois dernières années précédant la demande (point 5.4 de sa demande). Qui plus est, la recourante a adressé à l'intimé en novembre 2009 son curriculum vitae ainsi qu'un courrier dont il ressort qu'elle a toujours été femme au foyer ou mère au foyer, et notamment de 1991 à 2009. En outre, son médecin traitant a indiqué que sa patiente n'a jamais travaillé en Suisse (rapport du 23 décembre 2009) et son psychiatre traitant ne rapporte pas l'existence de cette activité dans les rapports qu'il a établis. À cela s'ajoute le fait que c'est de manière contradictoire que la recourante a évoqué, dans un premier temps, une activité de garde de l'enfant de sa cousine à un taux de moins de 50 % - car l'enfant était gardé aussi par sa grand-mère et son père - (enquête ménagère du 14 mai 2012), alors que la cousine de la recourante fait état, quant à elle, d'une garde exercée cinq jours par semaine de 7h00 à 19h30, et un samedi par mois (courriel de Mme K______ du 1er juillet 2014 et son attestation non datée, pièce 34 chargé recourante). De manière contradictoire encore, dans le cadre de la présente procédure, la recourante allègue qu'elle travaillait à plein temps en gardant la fille de sa cousine (écriture du 11 juillet 2014). Madame M______, entendue le 3 juin 2014 par la chambre de céans, a certes expliqué avoir constaté, à une reprise, que la cousine de la recourante avait amené l'enfant tôt le matin chez la recourante et l'avait repris le lendemain tôt. Selon la chambre de céans, s'il est possible que la recourante ait gardé, à certaines occasions, la fille de sa cousine, cela ne suffit toutefois pas pour retenir, au degré de la vraisemblance prépondérante, que la recourante a exercé une activité lucrative pendant quatre ans, soit de 2003 à 2007. La recourante allègue également avoir effectué des ménages entre 1992 et 2004 (enquête ménagère du 14 mai 2012). La chambre de céans constate que ces allégations ne sont pas étayées par des preuves. En outre, la voisine de palier de la recourante a, de manière convaincante, expliqué par-devant la chambre de céans</w:t>
      </w:r>
    </w:p>
    <w:p>
      <w:r>
        <w:t>A/2637/2013 - 21/27 - que la recourante n'avait jamais travaillé, qu'elle avait toujours été à la maison, qu'elle ne s'était ni occupée d'enfants à l'extérieur, ni des filles de sa cousine, et ce même dans les années 2003 à 2007. Elle a ajouté que lorsque la fille de la recourante était encore à la maison, la recourante ne travaillait pas à l'extérieur (procès-verbal d'audition du 25 février 2014). La chambre de céans constate que le témoignage de la voisine de la recourante vient corroborer les premières déclarations de celle-ci (à savoir celles figurant dans sa demande de prestations du 1er novembre 2009, son curriculum vitae et son courrier), faisant toutes état de l'absence d'une activité lucrative en Suisse (pièce 6 pages 1 et 2, chargé intimé). À la question de savoir ce qu'elle ferait sans atteinte à la santé, la recourante a certes déclaré qu'elle aurait travaillé à plein temps "pour se sentir utile". Elle a également répondu que sa situation financière avait subi des modifications importantes depuis le départ de sa fille (questionnaire du 14 mai 2012). La chambre de céans constate toutefois qu'il n'y a aucun élément au dossier démontrant que la recourante aurait effectué des démarches pour améliorer sa situation économique lorsqu'elle s'est retrouvée veuve et avec un enfant de 12 ans à charge. La recourante a certes déclaré par-devant la chambre de céans avoir cherché du travail en postulant par écrit, mais n'avoir pas conservé la preuve de ses recherches (procès-verbal du 25 février 2014). Cette allégation ne saurait toutefois être retenue, dès lors que la recourante a déclaré par ailleurs n'avoir jamais fait de recherches d'emploi en Suisse (enquête ménagère du 14 mai 2012). c. Compte tenu de l'ensemble de ces éléments et des circonstances personnelles, familiales, sociales et économiques de la recourante, la chambre de céans parvient à la conclusion que l'on ne saurait retenir, au degré de la vraisemblance prépondérante, qu'au moment déterminant où la décision litigieuse du 14 juin 2013 a été rendue, la recourante, sans atteinte à la santé, vivant seule et au bénéfice d'une rente de veuve et de prestations complémentaires, aurait exercé une activité lucrative, fût-ce "pour se sentir utile". C'est par conséquent à juste titre que l'intimé a retenu un statut de ménagère.</w:t>
      </w:r>
    </w:p>
    <w:p>
      <w:r>
        <w:rPr>
          <w:b/>
        </w:rPr>
        <w:t>E. 12</w:t>
      </w:r>
    </w:p>
    <w:p>
      <w:r>
        <w:t>a. Pour évaluer l’invalidité des assurés travaillant dans le ménage au sens de l’art. 5 LAI, l’administration procède, conformément à l’art. 27 du règlement sur l’assurance-invalidité, du 17 janvier 1961 (RAI - RS 831.201), à une enquête sur les activités ménagères et fixe l’empêchement dans chacune des activités habituelles.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w:t>
      </w:r>
    </w:p>
    <w:p>
      <w:r>
        <w:t>A/2637/2013 - 22/27 -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I_733/06 du 16 juillet 2007).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du Tribunal fédéral 8C_671/2007 du 13 juin 2008 consid. 3.2.1; arrêt du Tribunal fédéral des assurances I_311/03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1er avril 2014 consid. 2.2; arrêt du Tribunal fédéral 9C_512/2010 du 14 avril 2011 consid. 2.2.2 ; arrêt du Tribunal fédéral 9C_108/2009 du 29 octobre 2009 consid. 4.1). b. Exercer à titre professionnel une activité de femme de ménage (à savoir pour autrui contre rémunération, avec notamment les contraintes d’horaires, de ponctualité, de diligence, de qualité que cela implique) n’est pas comparable à la tenue de son propre ménage. C’est d’autant plus vrai pour l’accomplissement de tâches ménagères chez soi et pour soi-même, dans un petit appartement occupé uniquement par soi-même. Dans ce cas, la ménagère n’est pas soumise à une exigence de rendement et a tout loisir de fractionner son travail ménager et de l’aménager au gré de son état ; elle y est même tenue par l'obligation de tout assuré social de diminuer le dommage (ATF 123 V 230 consid. 3c ; ATF 115 V 38 ; ATF 114 V 281 consid. 3 ; ATF 111 V 235 consid. 2a ; cf. aussi MAURER, Schweizerisches Sozialversicherungsrecht, t. II p. 377 ; MEYER-BLASER, Zum Verhältnismässigkeitsgrundsatz im staatlichen Leistungsrecht, 1985, p. 131). Aussi importe-t-il de déterminer si les médecins psychiatres s’étant prononcés sur la capacité de travail de la recourante l’ont fait en intégrant la réalité que cette</w:t>
      </w:r>
    </w:p>
    <w:p>
      <w:r>
        <w:t>A/2637/2013 - 23/27 - dernière n’exerçait pas (ou à leurs yeux quasiment pas) une activité professionnelle mais était ménagère. Pour le premier expert psychiatre, le Dr D______, la recourante n’était pas capable d’effectuer les tâches ménagères régulièrement, et elle réduisait au minimum ses activités ménagères ; mais une amélioration de son état de santé pouvait être escomptée d’une prise en charge par un spécialiste (rapport du 9 décembre 2010) ; la perturbation du sommeil, la diminution de l’énergie et la fatigabilité, la perte de confiance en soi, l’anxiété et l’aboulie étaient incompatibles avec une activité professionnelle, même comme ménagère (courrier du 30 mai 2011). De même, le médecin traitant de la recourante, le Dr E______, a indiqué que la recourante n’était pas capable d’effectuer les tâches ménagères (avis du 25 novembre 2013). Le second expert, le Dr G______, a conclu à une incapacité de travail complète, dans un rapport dans lequel il a certes fait état du fait que la recourante ne prenait guère d’initiatives pour s’intégrer professionnellement, se contentant de petits ménages par-ci par-là (rapport du 16 février 2012). Invité à se déterminer à propos des empêchements que la recourante rencontrait pour accomplir ses tâches ménagères, le second expert n’a pu apporter que des éléments de réponse vagues et imprécis, sinon que la recourante semblait pouvoir réaliser son ménage à minima, allait faire des commissions et se cuisinait des plats simples, qu’elle déclarait pouvoir entretenir son logement et que, s’agissant de la lessive et l’entretien des vêtements, la recourante n’était pas dans un état négligé. Indice supplémentaire que son expertise n’avait pas été faite dans cette optique, ledit expert a relevé qu’il était impossible au médecin psychiatre de se prononcer de manière si précise sur les différentes activités ménagères et que cette appréciation relevait d’une enquête sur le ménage effectuée par une spécialiste (courrier du 20 novembre 2014). Ainsi, en dépit d’imprécisions dans le libellé des avis établis par les médecins psychiatres, il faut retenir que ces derniers, qui savaient que la recourante était confrontée essentiellement à des tâches ménagères pour son propre foyer, ne se sont pas prononcés dans la seule perspective pour eux habituelle d’apprécier la capacité de travail, orientée vers l’accomplissement d’une profession, de la recourante, mais ont bien intégré dans leur appréciation l’accomplissement des tâches ménagères. c. Dès lors, quand bien même ni le premier expert, ni le médecin traitant, ni le second expert n’ont détaillé et pondéré les différentes activités ménagères, et n’ont estimé les taux d’empêchement de la recourante pour chacune d’elles, il faut reconnaître qu’il y a une divergence sur l’étendue des empêchements de la recourante pour accomplir ses tâches ménagères entre les enquêtrices de l’intimé et les médecins psychiatres. Il ne s’ensuit pas qu’il faut tout simplement écarter en l’espèce le moyen de preuve jugé habituellement idoine pour apprécier les empêchements de la recourante d’accomplir ses tâches ménagères qu’est l’enquête ménagère. Quoique imprécis, les avis des psychiatres conduisent en l’espèce à retenir des taux d’empêchement à tout</w:t>
      </w:r>
    </w:p>
    <w:p>
      <w:r>
        <w:t>A/2637/2013 - 24/27 - le moins légèrement supérieurs à ceux qu’a retenus la seconde enquêtrice, pour les postes pour lesquels l’appréciation de l’enquêtrice n’est pas absolument convaincante. d. La seconde enquête ménagère effectuée a abouti à des résultats assez proches de ceux de la première enquête, alors que la première enquête ménagère, de l’avis même du SMR et de l’intimé, sous-évaluait les empêchements découlant des atteintes psychiques de la recourante. Sans doute la seconde enquêtrice a-t-elle noté, dans son rapport du 30 avril 2013, sous la forme d’un simple commentaire final général (en page 6), que les empêchements de l’assurée dans la sphère ménagère découlaient majoritairement du problème psychique, les diverses douleurs physiques dont l’assurée se plaignait les influençant dans une bien moindre mesure. On ne retrouve cependant pas dans ce rapport d’enquête d’indications sur la vie quotidienne de la recourante et sa vie socio-familiale, ni sur ce que la recourante effectuait, dans chaque poste, sans atteinte à la santé, informations qui résultent certes du premier rapport d’enquête ménagère et qui doivent avoir, pour l’essentiel, conservé leur pertinence une année plus tard, lors de l’établissement du second rapport d’enquête ménagère. Il n’est pas convaincant (voire est indécent) que, pour le poste « alimentation », il soit estimé acceptable que « la recourante se fasse des salades et mange des fruits le reste du temps (…) au vu de son surpoids et de sa faible dépense physique ». Il n’est par ailleurs ni expliqué ni plausible que, pour le poste « entretien du logement », le taux d’empêchement ait passé de 60 % lors de la première enquête à 50 % lors de la seconde. Il appert par ailleurs que l’importance de l’aide de la voisine a été sous-estimée. Quand bien même cette aide peut, sur certains points, dépasser la mesure du strict nécessaire, du moins lors de périodes durant lesquelles la recourante, à l’état psychique fluctuant, se sent momentanément mieux, elle n’en reste pas moins indispensable, comme cela résulte des déclarations faites par ladite voisine devant la chambre de céans : apporter les repas deux fois par jour (sous réserve des courtes périodes, d’en général pas plus de trois-quatre jours, où la recourante va bien), passer l’aspirateur, faire le nettoyage des sanitaires ou de la cuisine, vider le lave-vaisselle, ranger les affaires, descendre les poubelles, mettre une machine en route chez elle et descendre sécher la lessive au sous-sol de l’immeuble (sous réserve d’une à trois semaines au maximum où la recourante va mieux), faire régulièrement les courses avec la recourante. Des constats et appréciations, certes sommaires, du second expert psychiatre, il résulte que l’incapacité d’assumer ses tâches ménagères est moindre que ce que le premier expert (dont l’avis, sur le plan du principe, conserve du poids) et le médecin traitant l’ont estimée, mais qu’elle est néanmoins importante, plus assurément que ce que la seconde enquêtrice et, à sa suite, l’intimé ont admis. Notamment la perte de l’intérêt à cuisiner et même à aller manger ailleurs (au chapitre de l’alimentation), ainsi que le manque d’entrain, d’envie et de motivation (au chapitre de l’entretien du logement) s’inscrivent typiquement dans la ligne des</w:t>
      </w:r>
    </w:p>
    <w:p>
      <w:r>
        <w:t>A/2637/2013 - 25/27 - troubles d’ordre psychique dont souffre la recourante, qu’il s’agit de ne pas minimiser, comme - estime la chambre de céans - l’a fait la seconde enquêtrice. e. Dans l’exercice du pouvoir d’appréciation qu’elle détient, au surplus dans un dossier dans lequel deux expertises psychiatriques et deux enquêtes ménagères ont eu lieu, la chambre de céans considère, au vu de l’ensemble des pièces du dossier, qu’il se justifie de retenir des taux d’empêchement pour le moins de 40 % pour le poste « alimentation » et de 60 % pour le poste « entretien du logement », postes dont la pondération n’apparaît pas devoir être modifiée. Il s’ensuit que les taux d’empêchement pondérés à retenir pour ces deux postes sont respectivement pour le moins de 18.8 % (40 % x 47 %) et de 12 % (60 % x 20 %). Le taux global d’empêchement pondéré est ainsi au moins de 41.4 %. Le résultat exact du calcul doit être arrondi au chiffre en pour cent supérieur ou inférieur selon les règles applicables en mathématiques (ATF 130 V 121 consid. 3, modifiant la jurisprudence publiée aux ATF 127 V 129, consid. 3), soit en l’espèce à 41 %. Ce n’est pas au bénéfice du doute mais de celui de la vraisemblance prépondérante que le seuil minimal de 40 % auquel un droit à une rente d’invalidité est reconnu (art. 28 al. 2 LAI) est ainsi jugé atteint en l’espèce, même légèrement dépassé. Il sied au surplus d’indiquer que le taux précis d’invalidité de la recourante n’est pas déterminant au-delà du taux minimal ouvrant le droit à une rente d’invalidité, puisque la recourante perçoit une rente de veuve et qu’à teneur de l’art. 43 al. 1 LAI le droit simultané à une rente AVS et à une rente AI doit conduire, le cas échéant, à lui reconnaître le droit à une rente d’invalidité entière (la rente la plus élevée des deux devant alors être allouée). La chambre de céans admettra donc partiellement le recours, dira que la recourante a droit à un quart de rente d’invalidité (sans préjudice de l’application de l’art. 43 al. 1 LAI), annulera la décision attaquée et renverra la cause à l’office intimé pour le calcul du montant de la rente devant être allouée à la recourante.</w:t>
      </w:r>
    </w:p>
    <w:p>
      <w:r>
        <w:rPr>
          <w:b/>
        </w:rPr>
        <w:t>E. 13</w:t>
      </w:r>
    </w:p>
    <w:p>
      <w:r>
        <w:t>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un émolument de CHF 200.- sera mis à la charge de l’office intimé. b. Un recourant qui obtient gain de cause a droit au remboursement de ses frais et dépens dans la mesure fixée par le tribunal ; leur montant est déterminé sans égard</w:t>
      </w:r>
    </w:p>
    <w:p>
      <w:r>
        <w:t>A/2637/2013 - 26/27 - à la valeur litigieuse d’après l’importance et la complexité du litige (art. 61 let. g LPGA; art. 89H al. 3 de la loi sur la procédure administrative du 12 septembre 1985 - LPA-GE - E 5 10 ; art. 6 du règlement sur les frais, émoluments et indemnités en procédure administrative du 30 juillet 1986 - RFPA - E 5 10.03). L’autorité cantonale chargée de fixer l’indemnité de dépens jouit d’un large pouvoir d’appréciation (ATF 111 V 49 consid. 4a ; ATF 110 V 365 consid. 3c). En l’espèce, vu l’admission partielle du recours, une indemnité de CHF 1’500.- sera accordée au recourant à titre de participation à ses frais et dépens, à la charge de l’office intimé.</w:t>
      </w:r>
    </w:p>
    <w:p>
      <w:r>
        <w:t>A/2637/2013 - 27/27 -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