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ATAS/120/2010 vom 7. Mai 2009</w:t>
      </w:r>
    </w:p>
    <w:p>
      <w:r>
        <w:t>GE Cour de justice, 2009-05-07, FR</w:t>
      </w:r>
    </w:p>
    <w:p>
      <w:r>
        <w:rPr>
          <w:b/>
        </w:rPr>
        <w:t xml:space="preserve">Quelle: </w:t>
      </w:r>
      <w:r>
        <w:t>https://mcp.opencaselaw.ch/entscheid/ge_gerichte_ATAS_120_2010</w:t>
      </w:r>
    </w:p>
    <w:p>
      <w:r>
        <w:t>FR: GE_GERICHTE ATAS/120/2010 du 7 mai 2009</w:t>
      </w:r>
    </w:p>
    <w:p>
      <w:r>
        <w:t>IT: GE_GERICHTE ATAS/120/2010 del 7 maggio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26 décembre 2000, d’autre part le 13 juin 2009, date à laquelle le jugement de divorce est devenu exécutoire. Selon les documents produits, la prestation acquise pendant le mariage par M. G__________ est de 21'233 fr. 80 (soit 22'298 fr. 85 - 1'065 fr. 06 auprès de la Fondation institution supplétive LPP) tandis que celle acquise par Mme G__________ est de 49'065 fr. 55 (soit 2'702 fr. 55 auprès de la Bâloise fondation collective pour la prévoyance professionnelle obligatoire et 46'363 fr. auprès de la Fondation de libre passage d'UBS SA), les intérêts ayant déjà été calculés par les institutions de prévoyance défenderesses. Ainsi M. G__________</w:t>
      </w:r>
    </w:p>
    <w:p>
      <w:r>
        <w:t>A/2227/2009 5/6 doit à son ex-épouse le montant de 10'616 fr. 90 (21'233 fr. 80 : 2) et celle-ci lui doit le montant de 24'532 fr. 80 (49'065 fr. 55 : 2), de sorte que c’est Mme G__________ qui doit à M. G__________ le montant de 13'915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A/2227/2009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