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ATAS/1209/2019 vom 23. Dezember 2019</w:t>
      </w:r>
    </w:p>
    <w:p>
      <w:r>
        <w:t>GE Cour de justice, 2019-12-23, FR</w:t>
      </w:r>
    </w:p>
    <w:p>
      <w:r>
        <w:rPr>
          <w:b/>
        </w:rPr>
        <w:t xml:space="preserve">Quelle: </w:t>
      </w:r>
      <w:r>
        <w:t>https://mcp.opencaselaw.ch/entscheid/ge_gerichte_ATAS_1209_2019</w:t>
      </w:r>
    </w:p>
    <w:p>
      <w:r>
        <w:t>FR: GE_GERICHTE ATAS/1209/2019 du 23 décembre 2019</w:t>
      </w:r>
    </w:p>
    <w:p>
      <w:r>
        <w:t>IT: GE_GERICHTE ATAS/1209/2019 del 23 dicembre 2019</w:t>
      </w:r>
    </w:p>
    <w:p>
      <w:pPr>
        <w:pStyle w:val="Heading2"/>
      </w:pPr>
      <w:r>
        <w:t>Erwägungen</w:t>
      </w:r>
    </w:p>
    <w:p>
      <w:r>
        <w:rPr>
          <w:b/>
        </w:rPr>
        <w:t>E. 10</w:t>
      </w:r>
    </w:p>
    <w:p>
      <w:r>
        <w:t>% était par conséquent conforme au droit. Pour le surplus, l’intimé a maintenu ses précédentes conclusions.</w:t>
      </w:r>
    </w:p>
    <w:p>
      <w:r>
        <w:rPr>
          <w:b/>
        </w:rPr>
        <w:t>E. 11</w:t>
      </w:r>
    </w:p>
    <w:p>
      <w:r>
        <w:t>Par courrier du 7 juin 2019, le recourant a relevé que la jurisprudence invoquée par l’intimé concernait la possibilité de mettre en valeur la capacité de travail restante et non l’abattement. Par conséquent, les conclusions de l’intimé ne pouvaient être suivies. Pour le surplus, le recourant a persisté dans ses conclusions.</w:t>
      </w:r>
    </w:p>
    <w:p>
      <w:r>
        <w:rPr>
          <w:b/>
        </w:rPr>
        <w:t>E. 12</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point de savoir si l'intimé était fondé à rejeter la troisième demande de prestations du recourant. Concrètement, le litige concerne l'existence d'une aggravation de l'état de santé du recourant entre le mois d’août 2016 (rejet de la précédente demande de prestations) et le 29 octobre 2018 (rejet de la nouvelle demande de prestations). 5. Le recourant conteste tout d’abord la capacité de travail retenue par l’intimé.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w:t>
      </w:r>
    </w:p>
    <w:p>
      <w:r>
        <w:t>A/4185/2018 - 9/21 -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w:t>
      </w:r>
    </w:p>
    <w:p>
      <w:r>
        <w:rPr>
          <w:b/>
        </w:rPr>
        <w:t>E. 13</w:t>
      </w:r>
    </w:p>
    <w:p>
      <w:r>
        <w:t>mars 2015 consid. 5.3.3) ; les activités de vendeur(euse) / caissier(ère) dans un kiosque (arrêts du Tribunal fédéral 9C_502/2014 du 5 septembre 2014 ; 9C_659/2014 du 13 mars 2015 et 9C_474/2016 du 8 février 2017), les activités dans le domaine du bureau, réceptionniste, caissier(ère) en kiosque ou en station-service (arrêts du Tribunal fédéral 9C_502/2014 du 5 septembre 2014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 c. Le Tribunal fédéral a été amené à examiner à plusieurs reprises le caractère réaliste des activités adaptées envisageables. Notre Haute Cour a ainsi considéré, dans un arrêt 9C_279/2008 du</w:t>
      </w:r>
    </w:p>
    <w:p>
      <w:r>
        <w:rPr>
          <w:b/>
        </w:rPr>
        <w:t>E. 16</w:t>
      </w:r>
    </w:p>
    <w:p>
      <w:r>
        <w:t>décembre 2008, que les limitations fonctionnelles présentées par une assurée, souffrant de lombosciatalgies gauches irritatives L5 sur hernie intraforaminale L5-S1 gauche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w:t>
      </w:r>
    </w:p>
    <w:p>
      <w:r>
        <w:rPr>
          <w:b/>
        </w:rPr>
        <w:t>E. 20</w:t>
      </w:r>
    </w:p>
    <w:p>
      <w:r>
        <w:t>minutes, possibilité d'alterner les positions assise / 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w:t>
      </w:r>
    </w:p>
    <w:p>
      <w:r>
        <w:t>A/4185/2018 - 16/21 -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En revanche, dans l'arrêt 9C_313/2007 du 8 janvier 2008, le Tribunal fédéral voyait mal comment une assurée qui devait éviter le port de charges supérieures à 1 kg et les mouvements de bras au-dessus de l'horizontale et ne disposait que d'une force de préhension et de serrage limitées, pourrait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Il en va de même dans l'arrêt 9C_1035/2009 du 22 juin 2010 dans lequel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possibilités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11. En l’espèce, le SMR a retenu des limitations fonctionnelles plus larges que celles énoncées par le médecin traitant du recourant, à savoir l’alternance des positions assis-debout une fois par heure, pas d’activité penchée en avant ou en porte-à-faux, pas d’activité importante avec le bras gauche, pas de rotation répétée du tronc et du cou, pas de port de charges au-delà de 15 kg (recte : 5kg), pas d’activité de flexion du cou. Il s’agit là de mesures d’épargne du membre supérieur gauche (pas</w:t>
      </w:r>
    </w:p>
    <w:p>
      <w:r>
        <w:t>A/4185/2018 - 17/21 - d’activité importante avec le bras gauche) et du dos (alternance des positions, interdiction d’autres positions, pas de port de charges). Étant donné que les limitations fonctionnelles concernent uniquement le membre supérieur gauche, le recourant doit être considéré comme mono-manuel. Or, le Tribunal fédéral a retenu à plusieurs reprises qu'il y avait suffisamment d'opportunités réalistes sur un marché du travail équilibré pour les personnes qui ne pouvaient exercer que des travaux légers de type mono-manuel. Au demeurant, force est de constater que c’est généralement en présence de limitations fonctionnelles touchant de manière importante les deux membres supérieurs que le Tribunal fédéral a considéré qu’un assuré ne pouvait pas mettre en valeur sa capacité de travail résiduelle dans une mesure significative, ce qui n’est pas le cas en l’espèce. Par conséquent, le recours doit également être rejeté sur ce point. 12. En troisième lieu, le recourant conteste l’abattement retenu par l’intimé.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134 V 322 consid. 5.2 ; ATF 126 V 75 consid. 5b/aa-cc). L'étendue de l'abattement justifié dans un cas concret relève du pouvoir d'appréciation (ATF 132 V 393 consid. 3.3). b. En l’espèce, le recourant n’a pas contesté les revenus pris en considération par l’intimé. Il conteste uniquement l’abattement de 10 % sur le salaire hypothétique. Or, ce dernier a été fixé à CHF 67'022.-, de sorte que même en appliquant l’abattement maximal de 25 %, le degré d’invalidité s’élève à 34 % (CHF 75'677.- - CHF 50'266.50 / CHF 75'677.- = 33,6 %), ce qui reste insuffisant pour donner droit à une rente. Par conséquent, le recours doit également être rejeté sur ce point. 13. Enfin, dans son recours, le recourant a conclu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w:t>
      </w:r>
    </w:p>
    <w:p>
      <w:r>
        <w:t>A/4185/2018 - 18/21 -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3ème éd. 2014, ad art. 8 LAI p. 95). b/aa. Aux termes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 environ ouvre en principe droit à une mesure de reclassement dans une nouvelle profession (ATF 124 V 108 consid. 2b et les arrêts cités). b/bb.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w:t>
      </w:r>
    </w:p>
    <w:p>
      <w:r>
        <w:t>A/4185/2018 - 19/21 - provoquer un empêchement sérieux et qui, par conséquent, ne justifient pas l'intervention de l'assurance-invalidité (ATF 114 V 29 consid. 1a p. 29 ;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 voir également MEYER, op. cit., ad art. 15 LAI p. 174). b/cc.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des assurances I 421/01 du 15 juillet 2002 consid. 2c, comparés aux arrêts du Tribunal fédéral des assurances I 170/06 du 26 février 2007 et du Tribunal fédéral 9C_879/2008 du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w:t>
      </w:r>
    </w:p>
    <w:p>
      <w:r>
        <w:t>A/4185/2018 - 20/21 -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5ème révision de l'AI (arrêt du Tribunal fédéral 9C_416/2009 du 1er mars 2010 consid. 5.2). 14. À titre liminaire, la chambre de céans constate que le recourant se limite à conclure, dans son mémoire de recours, à « des mesures d’ordre professionnel », sans motiver sa position. La chambre de céans relève par ailleurs que le recourant a déjà bénéficié, par le passé, d’une mesure de reclassement dans l’activité d’opérateur en horlogerie, cette formation ayant été la seule proposée lors de la mesure d’orientation professionnelle. Dans de telles circonstances, ni un reclassement ni une mesure d'orientation professionnelle ne seraient justifiés en l’espèce, ce d’autant moins que le marché de l'emploi offre un éventail suffisamment large d'activités légères, dont un nombre significatif sont, à l'évidence, adaptées aux limitations fonctionnelles retenues et accessibles sans aucune formation particulière. Quant à l'aide au placement, force est de constater que le recourant présente une capacité de travail entière dans une activité adaptée et que les éventuelles difficultés du recourant pour trouver un emploi ne résultent pas de ses atteintes à la santé, qui se traduisent simplement par des limitations au niveau des positions et du port de charges. Le recours doit donc également être rejeté s’agissant des mesures d’ordre professionnel. 15. Au vu de ce qui précède, le recours sera rejeté. Le recourant plaidant au bénéfice de l'assistance juridique, il est renoncé à percevoir l'émolument de justice prévu à l'art. 69 al. 1bis LAI (art. 13 al. 1 du règlement sur les frais, émoluments et indemnités en procédure administrative [RFPA - E 5 10.03]). * * * * * *</w:t>
      </w:r>
    </w:p>
    <w:p>
      <w:r>
        <w:t>A/4185/2018 - 21/21 -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