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ATAS/1208/2019 vom 23. Dezember 2019</w:t>
      </w:r>
    </w:p>
    <w:p>
      <w:r>
        <w:t>GE Cour de justice, 2019-12-23, FR</w:t>
      </w:r>
    </w:p>
    <w:p>
      <w:r>
        <w:rPr>
          <w:b/>
        </w:rPr>
        <w:t xml:space="preserve">Quelle: </w:t>
      </w:r>
      <w:r>
        <w:t>https://mcp.opencaselaw.ch/entscheid/ge_gerichte_ATAS_1208_2019</w:t>
      </w:r>
    </w:p>
    <w:p>
      <w:r>
        <w:t>FR: GE_GERICHTE ATAS/1208/2019 du 23 décembre 2019</w:t>
      </w:r>
    </w:p>
    <w:p>
      <w:r>
        <w:t>IT: GE_GERICHTE ATAS/1208/2019 del 23 dicembre 2019</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novembre 2014, en réclamant la réparation de son dommage par décision du 14 octobre 2016, l’intimée a respecté tant le délai de prescription de deux ans que celui de cinq ans. Puis, en rendant une décision sur opposition le 11 octobre 2018, l’intimée a interrompu une nouvelle fois les délais de prescription, de sorte que l’action en réparation du dommage n’est pas prescrite.</w:t>
      </w:r>
    </w:p>
    <w:p>
      <w:r>
        <w:rPr>
          <w:b/>
        </w:rPr>
        <w:t>E. 7</w:t>
      </w:r>
    </w:p>
    <w:p>
      <w:r>
        <w:t>Il convient d’examiner si les autres conditions de la responsabilité en vertu de l’art. 52 LAVS développées par la jurisprudence sont réalisées, à savoir si le recourant peut être considéré comme étant « l’employeur » tenu de verser les cotisations à l’intimée, s’il a commis une faute ou une négligence grave et enfin s’il existe un lien de causalité entre son comportement et le dommage causé à l’intimée. a.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w:t>
      </w:r>
    </w:p>
    <w:p>
      <w:r>
        <w:t>A/3953/2018 - 13/21 -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c.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w:t>
      </w:r>
    </w:p>
    <w:p>
      <w:r>
        <w:rPr>
          <w:b/>
        </w:rPr>
        <w:t>E. 8</w:t>
      </w:r>
    </w:p>
    <w:p>
      <w:r>
        <w:t>En l’espèce, le recourant a été associé sans signature depuis l’inscription au RC de la société, le 13 août 2008, puis avec signature individuelle dès le 23 juillet 2010, étant précisé que la société a disposé de gérants successifs avec signature individuelle dès sa fondation. Selon la loi fédérale du 30 mars 1911, complétant le Code civil suisse (CO, Code des obligations - RS 220), l’assemblée des associés est l’organe suprême de la Sàrl (art. 804 al. 1 CO). Les associés exercent collectivement la gestion de la société. Les statuts peuvent régler la gestion de manière différente (art. 809 al. 1 CO.) Les dispositions du droit de la société anonyme concernant les carences dans l’organisation de la société s’appliquent par analogie à la société à responsabilité limitée (art. 819 CO). 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(art. 827 CO). D’après l’art. 22 des statuts de la société établis le 8 août 2008, la gestion de la société est assurée par un ou plusieurs membres (gérants ; al. 1). Les gérants sont élus par l’assemblée des associés pour une durée d’une année. Une réélection est possible (al. 2). L’assemblée des associés peut révoquer à tout moment un gérant qu’elle a nommé (al. 4).</w:t>
      </w:r>
    </w:p>
    <w:p>
      <w:r>
        <w:t>A/3953/2018 - 14/21 - Au vu de ce qui précède, il ressort des statuts que la gestion de la société, en dérogation à l’art. 809 al. 1 CO, était formellement assurée par le gérant et non par les associés. Par conséquent, en tant qu’associé non gérant, le recourant n’était pas un organe formel.</w:t>
      </w:r>
    </w:p>
    <w:p>
      <w:r>
        <w:rPr>
          <w:b/>
        </w:rPr>
        <w:t>E. 9</w:t>
      </w:r>
    </w:p>
    <w:p>
      <w:r>
        <w:t>Il reste à examiner s’il était un organe de fait, respectivement s’il a exercé de fait la fonction de gérant. Les associés gérants d’une société à responsabilité limitée qui ont été formellement désignés en cette qualité, ainsi que les personnes qui exercent cette fonction en fait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ATF 117 II 570 consid. 3 ; arrêt du Tribunal fédéral des assurances H 128/04 du 14 février 2006 consid. 3 ss). En font typiquement partie les personnes qui, de par la force de leur position (associé majoritaire par exemple), donnent au gérant formel des instructions sur la conduite des affaires de la société (arrêt du Tribunal fédéral des assurance H 297/99 du 29 mai 2000 consid. 4 in Pratique VSI 2000/5 p. 228).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La qualité d’organe est réservée aux personnes exécutant leurs obligations au sein de la société ou à l’égard des tiers en vertu de leur propre pouvoir de décision. Le fait qu’une personne est inscrite au RC avec droit de signature n’est, à lui seul, pas déterminant.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La qualité d’organe de fait</w:t>
      </w:r>
    </w:p>
    <w:p>
      <w:r>
        <w:t>A/3953/2018 - 15/21 -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Un associé non gérant peut être rendu responsable dans le cas où il ne prendrait aucune mesure après avoir pris connaissance d’insuffisances de la part de la direction (dans ce contexte : cf. jugement arrêt du Tribunal fédéral des assurances H 136/99 du 17 septembre 1999 non publié ; Pratique VSI 2000/5 p. 228 consid. 4, déjà cité).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des assurances H 20/01 du 21 juin 2001 consid. 5).</w:t>
      </w:r>
    </w:p>
    <w:p>
      <w:r>
        <w:rPr>
          <w:b/>
        </w:rPr>
        <w:t>E. 10</w:t>
      </w:r>
    </w:p>
    <w:p>
      <w:r>
        <w:t>Dans la décision litigieuse, l’intimée soutient que le recourant a exercé une influence décisive sur la formation de la volonté de la société au motif que la décision d’externaliser les tâches administratives émanait des associés, respectivement de sa part, de même que celle de vendre les clients, soit des décisions excédant le cadre des affaires quotidiennes de la société, de sorte que la maîtrise du pouvoir de disposer des cotisations sociales lui appartenait. Selon les statuts (art. 24), les gérants sont compétents pour toutes les affaires qui ne sont pas attribuées à l’assemblée des associés par la loi ou les statuts (al. 1). Notamment, ils exercent la haute direction de la société et établissent les instructions nécessaires (al. 2 ch. 1). Ils fixent les principes de comptabilité et du contrôle financier ainsi que le plan financier pour autant que celui-ci soit nécessaire à la gestion de la société (al. 2 ch. 2), ils exercent la surveillance sur les personnes chargées de parties de la gestion (al. 2 ch. 4) et ils informent le juge en cas de surendettement (al. 2 ch. 7). En l’espèce, le 23 juillet 2010, les associés ont radié le gérant 1, nommé un nouveau gérant et ont acquis le droit de signature individuelle. À partir du 18 novembre 2010, consciente que l’ensemble des documents administratifs n’étaient pas à jour, la société représentée par ses associés a fait appel à H_____, qui a mis à sa disposition une employée à 33 %, un logiciel et des conseils afin de l’aider dans sa gestion administrative et comptable jusqu’à ce qu’un litige financier n’intervienne en mai 2011 entre ces deux entités. Lors du constat d’huissier du 5 mai 2011, le recourant était présent en tant qu’associé. Le 13 mai 2011, la société représentée par les associés a cédé ses contrats « clients » aux sociétés I______ Sàrl et J______ Sàrl pour un montant total de CHF 115'000.- afin de régler ses dettes, à savoir prioritairement les montants dus au titre de la part pénale des cotisations</w:t>
      </w:r>
    </w:p>
    <w:p>
      <w:r>
        <w:t>A/3953/2018 - 16/21 - sociales, à la LPP et aux impôts à la source. À partir d’août 2011, lors des divers entretiens avec l’intimée, l’interlocuteur de la société était l’associé 1. Il ressort de ces divers documents que, bien que les statuts prévoient que la gestion de la société, – en dérogation à l’art. 809 al. 1 CO –, est assurée par le gérant, dans les faits, les associés ont pris des décisions réservées aux organes, en l’occurrence au gérant, et ont ainsi exercé une influence déterminante et durable sur la formation de la volonté de la société. S’ils n’avaient pas exercé une telle influence et s’en étaient remis à la gestion du gérant telle que prévue par les statuts, on ne comprendrait pas pourquoi ils auraient signé le contrat de mise à disposition de personnel du 18 novembre 2010 et n’auraient pas laissé la gérante s’en occuper personnellement. La qualité d’organe de fait du recourant est au demeurant confirmée par la position du gérant 2, selon lequel il aurait accepté d’être inscrit comme gérant de la société uniquement afin de rendre service aux associés qui, étant tous deux domiciliés en France, cherchaient une personne domiciliée en Suisse pour l’inscription au Registre du commerce. L’intéressé ajoute qu’il n’avait aucune compétence en matière de gestion et n’avait pas accès aux comptes de la société. On doit ainsi admettre que le paiement des salaires ainsi que celui des cotisations sociales relevait également du domaine de compétence des associés et qu’ils avaient le pouvoir d’éviter que le dommage subi par l’intimée ne survienne. Par conséquent, le recourant doit être considéré comme un organe de fait de la société.</w:t>
      </w:r>
    </w:p>
    <w:p>
      <w:r>
        <w:rPr>
          <w:b/>
        </w:rPr>
        <w:t>E. 11</w:t>
      </w:r>
    </w:p>
    <w:p>
      <w:r>
        <w:t>Il convient encore de déterminer s’il est responsable du dommage de l’intimée ou plus exactement s’il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w:t>
      </w:r>
    </w:p>
    <w:p>
      <w:r>
        <w:t>A/3953/2018 - 17/21 -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w:t>
      </w:r>
    </w:p>
    <w:p>
      <w:r>
        <w:rPr>
          <w:b/>
        </w:rPr>
        <w:t>E. 12</w:t>
      </w:r>
    </w:p>
    <w:p>
      <w:r>
        <w:t>En l’espèce, il ressort de l’état de fait que la société n’a plus payé régulièrement les décomptes trimestriels de cotisations sociales à partir d’avril 2010. En octobre 2010, elle était également débitrice envers l’intimée de CHF 67'754.70 au titre du décompte final 2009 des cotisations sociales. Elle n’a pas payé le décompte pour le quatrième trimestre 2010 daté du 19 avril 2011, ni aucun décompte trimestriel pour l’année 2011. Eu égard à l’appel fait aux services de H_____ par convention du 18 novembre 2010 dont il était signataire, le recourant était au</w:t>
      </w:r>
    </w:p>
    <w:p>
      <w:r>
        <w:t>A/3953/2018 - 18/21 - courant que la société éprouvait beaucoup de difficultés dans les domaines comptable et administratif, que les flux financiers n’étaient pas bien contrôlés, que l’ensemble des documents administratifs n’étaient pas à jour, que la situation financière nécessitait de réduire les coûts du personnel administratif et ceux de la fiduciaire. Par conséquent, conscient de cette situation, il lui appartenait en tant qu’organe de fait, de veiller personnellement à ce que les cotisations paritaires afférentes aux salaires versés fussent effectivement payées à l’intimée, nonobstant le mode de répartition interne des tâches au sein la société. Il ne peut pas se libérer de cette responsabilité en invoquant que toute la gestion administrative de la société a été confiée à H_____. En effet, selon la convention du 18 novembre 2010, la mise à disposition d’une employée à 33 %, des conseils du directeur général et d’un logiciel de comptabilité adéquat avait pour but d’améliorer la situation administrative et comptable de la société et non pas de confier toute la gestion à H_____. De plus, un organe de fait ne peut pas déléguer la gestion de sa société sans exercer son devoir de surveillance sur les personnes chargées de la gestion, car cela constitue déjà en soi un cas de négligence grave. En effet, en conservant formellement un mandat de gestion qu’il prétend n’avoir jamais assumé dans les faits, le recourant occupait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Par conséquent, le recourant a permis, en pleine connaissance de cause, que les liquidités de la société soient affectées en priorité à d’autres fins que le paiement des cotisations sociales et toléré que cette situation perdure, violant ainsi son obligation de diligence (ATF 122 III 195 consid. 3 ; RDAT 2003 II n° 60, p. 243, consid. 2.4). Si les ressources financières de la Sàrl ne permettaient pas de payer les cotisations dans leur intégralité, il aurait dû ne verser que les salaires pour lesquels les créances de cotisations qui en découlent de par la loi étaient couvertes (SVR 1995 AHV n° 70 p. 214 consid. 5 ; voir également l’arrêt du Tribunal fédéral 9C_338/2007 du 21 avril 2008 consid. 3.1). Par ailleurs, si le recourant avait correctement effectué son mandat, il aurait pu constater que les cotisations sociales étaient impayées ou payées avec retard dès le mois d’avril 2010 et prendre les mesures qui s’imposaient ou alors démissionner immédiatement de ses fonctions (cf. arrêt du Tribunal fédéral 9C_344/2011 du 3 février 2012 consid. 4.3). La faute s’avère d’autant plus grave que la société connaissait des difficultés financières depuis avril 2010, comme le démontre le paiement irrégulier des acomptes, ce qui rendait d’autant plus aléatoire le paiement du solde de cotisations le moment venu. En n’exerçant aucune surveillance, le recourant a donc commis une négligence qui doit, sous l’angle de l’art. 52 LAVS, être qualifiée de grave (ATF 112 V 1 consid. 2b).</w:t>
      </w:r>
    </w:p>
    <w:p>
      <w:r>
        <w:rPr>
          <w:b/>
        </w:rPr>
        <w:t>E. 13</w:t>
      </w:r>
    </w:p>
    <w:p>
      <w:r>
        <w:t>Dans un dernier moyen, le recourant soutient que la créance de l’intimée de CHF 155'939.35 et dont il ne conteste pas l’exactitude doit être réduite, eu égard à</w:t>
      </w:r>
    </w:p>
    <w:p>
      <w:r>
        <w:t>A/3953/2018 - 19/21 - la faute concomitante de l’intimée qui a renoncé à faire valoir en justice les créances de la société vis-à-vis de H_____, I______ Sàrl et J______ Sàrl et n’a pas requis la cession des droits de la masse en faillite. La jurisprudence admet l’application par analogie des art. 4 LRCF et 44 al. 1 CO, et la réduction de l’obligation de réparer le dommage au sens de l’ancien art. 52 LAVS en raison d’une faute propre de la caisse de compensation intéressée (ATF 122 V 185). Il faut cependant que l’administration ait gravement violé ses devoirs, ce qui sera le cas lorsque la caisse a violé des prescriptions élémentaires en matière de fixation et de perception des cotisations (voir à ce sujet notamment l’art. 34b RAVS qui fixe les conditions d’octroi du sursis au paiement). La violation de ces obligations doit être constitutive de négligence grave et être en relation de causalité avec le dommage subi (ATF 122 V 185 consid. 3c ; NUSSBAUMER, Die Haftung des Verwaltungsrates nach Art. 52 AHVG, PJA 1996, § 9 p. 1081-1982). En l’espèce, l’administration de la faillite a fait notifier deux commandements de payer de CHF 50'000.- chacun contre J______ Sàrl et I______ Sàrl qui ont été frappés d’opposition. L’administration de la faillite a considéré que ces procédures étaient hasardeuses et qu’elle n’avait pas les fonds pour couvrir les frais de la procédure de mainlevée. Elle a requis la suspension de la procédure de faillite faute d’actifs suffisants. L’intimée, ni aucun autre créancier, n’ont requis la liquidation de la faillite et la cession des droits de la masse, de sorte que la société a été radiée d’office selon publication dans la FOSC du 16 février 2015. L’intimée a estimé qu’il était inopportun de se lancer dans de telles procédures sans en maîtriser les termes, les coûts et l’issue. Il ne peut pas lui être reproché une faute concomitante, dans le fait de ne pas avoir fait usage des possibilités de requérir la liquidation de la faillite et la cession des droits de la masse étant donné que le dommage était déjà survenu au moment de la suspension de la procédure. Par ailleurs, le comportement de l’intimée n’a pas contribué à augmenter le montant dudit dommage. Quoi qu’il en soit, le fait de ne pas avoir risqué les deniers publics dans des procédures de recouvrement aléatoires et onéreuses ne peut en aucun cas être considéré comme un comportement illicite ou la violation d’une obligation de l’intimée constitutive d’une négligence grave (cf. dans un cas similaire, l’arrêt du Tribunal fédéral des assurance H 57/06 du 26 juin 2006 consid. 5.2). Par conséquent, ce grief ne peut être que rejeté.</w:t>
      </w:r>
    </w:p>
    <w:p>
      <w:r>
        <w:rPr>
          <w:b/>
        </w:rPr>
        <w:t>E. 14</w:t>
      </w:r>
    </w:p>
    <w:p>
      <w:r>
        <w:t>Il reste à examiner si cette négligence grave est en lien de causalité naturelle et adéquate avec le dommage de l’intimée qui est de CHF 155'939.35 et dont le montant n’est pas contesté par le recourant. La jurisprudence estime qu’il existe en règle générale un lien de causalité adéquate entre l’inaction de l’organe et le non-paiement des cotisations, sous réserve du cas où l’entrée en fonction a eu lieu alors que la société était déjà surendettée</w:t>
      </w:r>
    </w:p>
    <w:p>
      <w:r>
        <w:t>A/3953/2018 - 20/21 - (ATF 119 V 401 consid. 4c.), de sorte que celui-ci répond solidairement de tout le dommage subi par l’assurance en cas de faillite de la société (arrêt du 30 novembre 2004, in SJ 2005 I p. 272, consid. 7.3.1 ; ATF 132 III 523). En l’espèce, la négligence grave du recourant est en relation de causalité naturelle et adéquate avec le dommage subi par l’intimée. En effet, en tant qu’associé fondateur de la société, il est entré en fonction alors que la société n’était pas encore surendettée. De plus, s’il avait correctement exécuté sa charge d’organe de fait, notamment en exigeant de consulter tous les documents comptables pertinents (pièces bancaires, correspondance avec l’AVS, etc.), il aurait pu veiller au versement régulier des cotisations sociales en 2010 et 2011 (voir par ex. l’arrêt du Tribunal fédéral 9C_289/2009 du 19 mai 2010 consid. 6.2 et les références).</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gérant 2 a sollicité l’ouverture d’une enquête, l’audition de témoins et l’administration de nouvelles preuves. Ses mesures d’instruction, très générales, ne sont d’aucune utilité pour résoudre la question litigieuse de la faute qualifiée ou négligence grave du recourant. Le gérant 2, qui est coresponsable solidaire du recourant et qui n’a pas recouru contre la décision en réparation du dommage qui lui a été notifiée, n’explique du reste pas à quoi ces mesures serviraient dans le cas présent. Il se limite à prétendre que ces actes d’instruction permettraient de démontrer qu’il n’a, personnellement, commis aucune faute. Or, la question – seule litigieuse ici – est de savoir si le recourant a intentionnellement ou par négligence causé un dommage à l’assurance. Il sera donc renoncé aux mesures d’instruction sollicitées par appréciation anticipée des preuves.</w:t>
      </w:r>
    </w:p>
    <w:p>
      <w:r>
        <w:rPr>
          <w:b/>
        </w:rPr>
        <w:t>E. 16</w:t>
      </w:r>
    </w:p>
    <w:p>
      <w:r>
        <w:t>Au vu de ce qui précède, le recours sera rejeté. Pour le surplus, la procédure est gratuite (art. 61 let. a LPGA). * * * * * *</w:t>
      </w:r>
    </w:p>
    <w:p>
      <w:r>
        <w:t>A/3953/2018 - 21/21 -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