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ATAS/1208/2011 vom 16. März 2011</w:t>
      </w:r>
    </w:p>
    <w:p>
      <w:r>
        <w:t>GE Cour de justice, 2011-03-16, FR</w:t>
      </w:r>
    </w:p>
    <w:p>
      <w:r>
        <w:rPr>
          <w:b/>
        </w:rPr>
        <w:t xml:space="preserve">Quelle: </w:t>
      </w:r>
      <w:r>
        <w:t>https://mcp.opencaselaw.ch/entscheid/ge_gerichte_ATAS_1208_2011</w:t>
      </w:r>
    </w:p>
    <w:p>
      <w:r>
        <w:t>FR: GE_GERICHTE ATAS/1208/2011 du 16 mars 2011</w:t>
      </w:r>
    </w:p>
    <w:p>
      <w:r>
        <w:t>IT: GE_GERICHTE ATAS/1208/2011 del 16 marzo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(art. 56ss LPGA), de sorte qu'il est recevable.</w:t>
      </w:r>
    </w:p>
    <w:p>
      <w:r>
        <w:rPr>
          <w:b/>
        </w:rPr>
        <w:t>E. 3</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w:t>
      </w:r>
    </w:p>
    <w:p>
      <w:r>
        <w:rPr>
          <w:b/>
        </w:rPr>
        <w:t>E. 4</w:t>
      </w:r>
    </w:p>
    <w:p>
      <w:r>
        <w:t>Le litige porte sur la prise en charge de travaux dentaires, selon un devis du Dr L__________ du 3 décembre 2010, étant précisé que le traitement a été d'ores et déjà réalisé.</w:t>
      </w:r>
    </w:p>
    <w:p>
      <w:r>
        <w:t>A/1940/2011 - 6/10 -</w:t>
      </w:r>
    </w:p>
    <w:p>
      <w:r>
        <w:rPr>
          <w:b/>
        </w:rPr>
        <w:t>E. 5</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être toutefois être inférieurs à 25'000 fr. pour les personnes seules ou les conjoints de personnes vivant dans un home ou un hôpital. L'art. 2 al. 1 let. c LPC délègue au Conseil d'État la compétence de déterminer les frais de maladie et d'invalidité qui peuvent être remboursés, en application de l'art. 14 al. 1 et 2 LPC. 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RG J 7 10.05), entré en vigueur le 1er janvier 2011. Il sied de relever que la LPC a été totalement révisée dans le cadre de la loi concernant l’adoption et la modification d’actes dans le cadre de la réforme de la péréquation financière et de la répartition des tâches entre la Confédération et les cantons (RPT) et que c'est à cette occasion que la compétence de définir les frais de maladie et d'invalidité qui, dans les limites du droit fédéral, peuvent être remboursés, a été transférée aux cantons (Message du Conseil fédéral du</w:t>
      </w:r>
    </w:p>
    <w:p>
      <w:r>
        <w:rPr>
          <w:b/>
        </w:rPr>
        <w:t>E. 7</w:t>
      </w:r>
    </w:p>
    <w:p>
      <w:r>
        <w:t>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w:t>
      </w:r>
    </w:p>
    <w:p>
      <w:r>
        <w:t>A/1940/2011 - 8/10 -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w:t>
      </w:r>
    </w:p>
    <w:p>
      <w:r>
        <w:rPr>
          <w:b/>
        </w:rPr>
        <w:t>E. 8</w:t>
      </w:r>
    </w:p>
    <w:p>
      <w:r>
        <w:t>En l'espèce, le SPC a refusé toute participation à la prise en charge du traitement dentaire devisé par le Dr L__________ le 3 décembre 2010. Il a considéré que le traitement décrit ne constituait pas un traitement simple, économique et adéquat au sens de l'art. 8 OMPC. Force est toutefois de constater que l'avis du médecin conseil, daté du 11 mars 2011, ne permet pas de déterminer si tel était ou non le cas. Ce médecin se contente en effet de signaler que le traitement devisé avait déjà été entièrement réalisé et que l'assurée n'en était pas satisfaite. C'est le lieu de préciser que, contrairement aux affirmations du médecin conseil, ce sont bien les caractères de simplicité, d'économicité et d'adéquation du traitement devisé qui doivent être examinés pour déterminer si ce traitement doit ou non être pris en charge par le SPC. Il ne s'agit pas en effet de se prononcer sur la façon dont le Dr L__________ a effectué son travail. Dans son avis complémentaire du 11 mai 2011, le médecin conseil a expliqué que la prothèse totale supérieure et la prothèse partielle inférieure type stellite pour remplacer les dents manquantes étaient inadéquates. Il a considéré que "la conception du traitement effectué ne répondait pas aux critères simple, adéquat, économique, puisque la présence de fortes douleurs depuis l'issue des soins, ne permettaient pas l'utilisation des prothèses normalement, et la prothèse partielle inférieure n'était pas adaptée à la situation". Il a par ailleurs déclaré qu'il lui était</w:t>
      </w:r>
    </w:p>
    <w:p>
      <w:r>
        <w:t>A/1940/2011 - 9/10 - impossible de contrôler l'adéquation du traitement devisé, du fait que les prothèses réalisées antérieurement n'existaient plus. Il ne pouvait en particulier pas dire si une réfection totale des prothèses était vraiment indispensable ou s'il n'aurait pas plutôt préféré la solution d'une réadaptation des prothèses existantes. Il reproche à cet égard au Dr L__________ de n'avoir effectué aucune radiographie des dents inférieures restantes et de n'avoir donné aucun détail pertinent et complet sur les raisons de refaire les prothèses existantes. Il relève enfin que le devis comporte des erreurs, les postes 4633, 4634, 4636 y figurant de façon distincte, alors qu'ils sont déjà inclus dans le poste 4600.</w:t>
      </w:r>
    </w:p>
    <w:p>
      <w:r>
        <w:rPr>
          <w:b/>
        </w:rPr>
        <w:t>E. 9</w:t>
      </w:r>
    </w:p>
    <w:p>
      <w:r>
        <w:t>La Cour de céans constate que le médecin conseil, dans son avis du 11 mai 2011, justifie d'une part que le traitement effectué ne constitue pas un traitement adéquat, au motif que l'assurée se plaint de douleurs depuis et, d'autre part, qu'il lui est impossible de contrôler l'adéquation du traitement devisé, reprochant au Dr L__________ de n'avoir effectué aucune radiographie des dents inférieures restantes et de n'avoir pas motivé les raisons pour lesquelles il avait pensé refaire les prothèses existantes. Force est d'en conclure que le médecin conseil ne s'est en réalité pas déterminé précisément sur les caractères de simplicité, d'adéquation et d'économicité du traitement devisé. La procédure engagée par l'assurée contre le Dr L__________ auprès de la Commission de surveillance des professions de la santé et des droits des patients a pour but de définir si celui-ci a correctement réalisé les travaux dentaires en bouche de l'assurée, mais également d'examiner si le traitement qu'il avait envisagé pour elle, et partant, devisé, était adéquat. En ce sens, il sera intéressant pour la Cour de céans de connaître les conclusions de cette Commission. 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Il se justifie dès lors de suspendre la présente cause jusqu'à droit connu dans la cause n° 20/11/4.</w:t>
      </w:r>
    </w:p>
    <w:p>
      <w:r>
        <w:t>A/1940/2011 - 10/10 - PAR CES MOTIFS, LA CHAMBRE DES ASSURANCES SOCIALES : Statuant sur incident</w:t>
      </w:r>
    </w:p>
    <w:p>
      <w:r>
        <w:t>1. Suspend l'instance en application de l’art. 14 LPA, jusqu'à jusqu’à droit connu dans la cause n° 20/11/4.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