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ATAS/1208/2010 vom 25. November 2010</w:t>
      </w:r>
    </w:p>
    <w:p>
      <w:r>
        <w:t>GE Cour de justice, 2010-11-25, FR</w:t>
      </w:r>
    </w:p>
    <w:p>
      <w:r>
        <w:rPr>
          <w:b/>
        </w:rPr>
        <w:t xml:space="preserve">Quelle: </w:t>
      </w:r>
      <w:r>
        <w:t>https://mcp.opencaselaw.ch/entscheid/ge_gerichte_ATAS_1208_2010</w:t>
      </w:r>
    </w:p>
    <w:p>
      <w:r>
        <w:t>FR: GE_GERICHTE ATAS/1208/2010 du 25 novembre 2010</w:t>
      </w:r>
    </w:p>
    <w:p>
      <w:r>
        <w:t>IT: GE_GERICHTE ATAS/1208/2010 del 25 novembre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Déposé dans les forme et délai légaux, le recours est recevable, de sorte qu'il convient d'entrer en matière.</w:t>
      </w:r>
    </w:p>
    <w:p>
      <w:r>
        <w:t>A/2470/2009 - 6/10 -</w:t>
      </w:r>
    </w:p>
    <w:p>
      <w:r>
        <w:rPr>
          <w:b/>
        </w:rPr>
        <w:t>E. 3</w:t>
      </w:r>
    </w:p>
    <w:p>
      <w:r>
        <w:t>Le litige porte sur le point de savoir si le recourant doit être considéré comme salarié ou indépendant.</w:t>
      </w:r>
    </w:p>
    <w:p>
      <w:r>
        <w:rPr>
          <w:b/>
        </w:rPr>
        <w:t>E. 4</w:t>
      </w:r>
    </w:p>
    <w:p>
      <w:r>
        <w:t>Sont assurés à titre obligatoire, selon l’art. 1a, al. 1 LAA, les travailleurs occupés en Suisse. Selon l’art. 1 de l'ordonnance sur l’assurance-accidents (OLAA ; RS 832.202), est réputé travailleur au sens de l’art. 1a al. 1 LAA quiconque exerce une activité lucrative dépendante au sens de la législation fédérale sur l’assurance- vieillesse et survivants. Est réputé salarié celui qui fournit un travail dépendant et qui reçoit pour ce travail un salaire déterminant au sens des lois spéciales (art. 10 LPGA). Cette disposition renvoie aux lois spéciales et n'a aucun effet sur ces dernières. En effet, elle ne prévoit ni une annulation de ces dernières, ni n'introduit d'éventuelles dérogations dans les lois spéciales (ATFA non publié du 10 avril 2006, H 2/06,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5</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w:t>
      </w:r>
    </w:p>
    <w:p>
      <w:r>
        <w:t>A/2470/2009 - 7/10 - la question, on se demandera quels éléments sont prédominants dans le cas considéré (ATF 123 V 162 consid. 1, 122 V 171 consid. 3a, 283 consid. 2a,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 En outre, la possibilité pour le travailleur d'organiser son horaire de travail ne signifie pas nécessairement qu'il s'agit d'une activité indépendante (VSI 1996 p. 257 ss consid. 3c ; ATFA non publié du 10 janvier 2005, H 334/03 consid. 6.2.1).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(GREBER/DUC/SCARTAZZINI, Commentaire des art. 1 à 16 de la loi fédérale sur l'assurance-vieillesse et survivants, 1966, n° 111 ad art. 5 LAVS, p. 181 ; ATFA non publié du 14 novembre 2002, H 188/02 consid. 5.2).</w:t>
      </w:r>
    </w:p>
    <w:p>
      <w:r>
        <w:rPr>
          <w:b/>
        </w:rPr>
        <w:t>E. 6</w:t>
      </w:r>
    </w:p>
    <w:p>
      <w:r>
        <w:t>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Raphael LANZ, Die Abgrenzung der selbständigen von den unselbständigen Erwerbstätigkeit im Sozialversicherungs-, Steuer-und Zivilrecht, in: PJA 12/1997 p.1474 sv.; GREBER / DUC / SCARTAZZINI, Commentaire des art. 1 à 16 de la loi fédérale sur l'assurance- vieillesse et survivants [LAVS], Bâle 1997, n. 103 ad art. 5; Hanspeter KÄSER,</w:t>
      </w:r>
    </w:p>
    <w:p>
      <w:r>
        <w:t>A/2470/2009 - 8/10 - Unterstellung und Beitragswesen in der obligatorischen AHV, Berne 1996, p. 120, n. 4.30).</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l'intimée est d'avis que l'activité déployée par le recourant pour Y___________ doit être qualifiée de salariée, dans la mesure où il l'a exercée principalement (à 80%) pour une seule entreprise et n'occupe pas lui-même de personnel. Selon la jurisprudence, les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H 169/04 du 21 avril 2005, consids.4.4; Gustavo Scartazzini, in Greber/Duc/Scartazzini, Commentaire des art. 1 à 16 de la Loi fédérale sur l'assurance-vieillesse et survivants [LAVS], 1996, n. 134 ss ad art. 5; Hans-Peter Käser, Unterstellung und Beitragswesen in der obligatorischen AHV, 2ème éd., ch. 4.51). Il n'est pas contesté que le recourant a consacré la majeure partie de son temps à la société Y___________, dont il tirait ainsi la quasi-totalité de ses revenus. Il se trouvait dès lors dans un rapport de dépendance économique avec l'entreprise Y___________ puisqu'en cas d'interruption de cette activité, il se serait retrouvé dans une situation semblable à celle d'un salarié qui perd son emploi (ATF H 169/04 du 21 avril 2005 op. cit. consid. 5.1; ATF 119 V 163 consid. 3b). Il n'assumait en outre pas de véritable risque économique d'entrepreneur, dès lors qu'il n'avait pas opéré d'investissements financiers importants et qu'il n'avait pas à rétribuer du personnel ou à assumer d'importants frais fixes pour l'exercice de son activité. Dès lors, au vu de l'ensemble des circonstances, c'est à juste titre que l'intimée a considéré l'activité déployée par le recourant en sa qualité de sous-traitant au service de la société Y___________ comme une activité dépendante.</w:t>
      </w:r>
    </w:p>
    <w:p>
      <w:r>
        <w:t>A/2470/2009 - 9/10 - Les éléments caractéristiques de la libre entreprise ne sont en effet pas suffisants pour que l'on puisse admettre que le recourant traitait sur un pied d'égalité avec l'entreprise, même s'il disposait de son propre outillage et utilisait son véhicule personnel. En effet, cela ne suffit pas à conclure à un investissement important au sens de la jurisprudence (VSI 1996 p. 258 consid. 3c et les références). Même s'il était libre d'organiser son travail à sa convenance, il n'en demeurait pas moins tributaire, pour l'essentiel, de Y___________ quant à l'obtention des mandats qui lui étaient confiés. Il s'ensuit que le recours est mal fondé.</w:t>
      </w:r>
    </w:p>
    <w:p>
      <w:r>
        <w:t>A/2470/2009 - 10/10 -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