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ATAS/1207/2013 vom 9. Dezember 2013</w:t>
      </w:r>
    </w:p>
    <w:p>
      <w:r>
        <w:t>GE Cour de justice, 2013-12-09, FR</w:t>
      </w:r>
    </w:p>
    <w:p>
      <w:r>
        <w:rPr>
          <w:b/>
        </w:rPr>
        <w:t xml:space="preserve">Quelle: </w:t>
      </w:r>
      <w:r>
        <w:t>https://mcp.opencaselaw.ch/entscheid/ge_gerichte_ATAS_1207_2013</w:t>
      </w:r>
    </w:p>
    <w:p>
      <w:r>
        <w:t>FR: GE_GERICHTE ATAS/1207/2013 du 9 décembre 2013</w:t>
      </w:r>
    </w:p>
    <w:p>
      <w:r>
        <w:t>IT: GE_GERICHTE ATAS/1207/2013 del 9 dicembre 2013</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Le recours, interjeté dans les délai et forme légaux, est recevable (art. 56 ss LPGA).</w:t>
      </w:r>
    </w:p>
    <w:p>
      <w:r>
        <w:rPr>
          <w:b/>
        </w:rPr>
        <w:t>E. 4</w:t>
      </w:r>
    </w:p>
    <w:p>
      <w:r>
        <w:t>Le litige porte sur le droit de la recourante à une rente de l’assurance-invalidité, en particulier sur l’existence d’une atteinte invalidante.</w:t>
      </w:r>
    </w:p>
    <w:p>
      <w:r>
        <w:rPr>
          <w:b/>
        </w:rPr>
        <w:t>E. 5</w:t>
      </w:r>
    </w:p>
    <w:p>
      <w:r>
        <w:t>Il convient en premier lieu d’examiner la violation du droit d’être entendue invoquée par la recourante. Tel qu'il est garanti par l'art. 29 al. 2 de la Constitution (Cst ; RS 101),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135 II 286 consid. 5.1; ATF non publié 8C_509/2011 du 26 juin 2012, consid. 2.2). La violation du droit d’être entendu doit en principe entraîner l’annulation de la décision attaquée, indépendamment des chances du recourant sur le fond (ATF 127 V 431 consid. 3d/aa ; ATF non publié 8C_104/2010 du 29 septembre 2010, consid. 3). 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ATF non publié 8C_53/2012 du 6 juin 2012, consid. 6.1). Contrairement à ce qu’allègue la recourante, on ne saurait considérer l’avis du SMR du 13 juin 2013 comme une pièce essentielle à la procédure. On rappellera en effet que si l’intimé fait bien référence à ce document, le refus de prestations ne se fonde</w:t>
      </w:r>
    </w:p>
    <w:p>
      <w:r>
        <w:t>A/2391/2013 - 10/15 - pas sur ce dernier avis mais sur les conclusions du Dr E__________ et les déterminations de la Dresse F__________ du 3 janvier 2013, dont la recourante a pu prendre connaissance. De plus, l’intimé a rapporté la teneur de l’avis du 13 juin 2013 dans la décision litigieuse, si bien que la recourante en connaissait le contenu. Partant, ce grief n’est pas fondé.</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7</w:t>
      </w:r>
    </w:p>
    <w:p>
      <w:r>
        <w:t>a)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A/2391/2013 - 11/15 -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Une expertise médicale établie sur la base d’un dossier peut avoir valeur probante pour autant que celui-ci contienne suffisamment d’appréciations médicales qui, elles, se fondent sur un examen personnel de l’assuré (RAMA 2001 n° U 438 p. 346 consid. 3d).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En l’espèce, le rapport du Dr E__________ correspond en tous points aux réquisits jurisprudentiels. Il repose en effet sur l’étude du dossier, notamment des résumés de séjour de la recourante au sein du Département de psychiatrie des HUG, comprend une anamnèse retraçant également les antécédents familiaux et rapporte les plaintes de la recourante. Le médecin examinateur a en outre procédé à un examen clinique avant d’exposer sur quels éléments se fondent ses diagnostics. De plus, ses conclusions quant à la capacité de travail sont claires et motivées. Partant, il convient de lui reconnaître une pleine valeur probante et d’admettre que la recourante ne présente pas d’atteinte incapacitante. La recourante allègue que le rapport du Dr E__________ contiendrait des imprécisions et des erreurs. Or, une telle assertion ne suffit pas à remettre en cause les conclusions du médecin examinateur dès lors qu’elle n’est étayée par aucun exemple concret. Les autres rapports médicaux ne justifient pas non plus que l’on s’écarte des conclusions du Dr E__________. S’agissant des résumés des hospitalisations de</w:t>
      </w:r>
    </w:p>
    <w:p>
      <w:r>
        <w:t>A/2391/2013 - 12/15 - 2001 et 2010, ils ne contiennent pas tous les éléments formels requis pour se voir reconnaître valeur probante. En particulier, ils ne se prononcent pas sur la capacité de travail de la recourante. En ce qui concerne le rapport d’hospitalisation le plus récent, émanant du Dr C__________, il est en outre contradictoire dans la mesure où ce médecin fait état d’un trouble dépressif majeur, alors qu’il ne constate aucun élément de la lignée dépressive à la sortie. Quant aux rapports de la Dresse D__________, ils appellent les remarques suivantes. En premier lieu, les diagnostics retenus ne sont pas motivés et cette praticienne n’explique en particulier pas pourquoi elle date la survenance du trouble dépressif récurrent à 2008 alors qu’il n’existe aucun rapport médical ou élément anamnestique établissant que c’est à cette période que le trouble allégué serait apparu. Il n’y a en particulier pas de trace d’un traitement médical instauré à cette époque. Quant aux nombreux abus médicamenteux évoqués, il n’existe en réalité qu’un seul rapport d’hospitalisation pour ce motif, même si le Dr C__________ a également évoqué la survenance d’un tel geste en 2007 dans son rapport. S’agissant de l’estimation de la capacité de travail, on s’étonne qu’elle soit antérieure à l’apparition du trouble dépressif récurrent qui semble la fonder. Il semble de plus que l’incapacité de travail attestée par la Dresse D__________ corresponde en réalité au taux d’activité effectif de la recourante, qui a cessé l’exploitation de son commerce en 2005, et non à la capacité de travail médicalement exigible. Elle n’est en outre pas motivée. Partant, les rapports de la Dresse D__________ ne peuvent se voir reconnaître valeur probante et il y a lieu de se rallier aux conclusions du Dr E__________, aux termes desquelles la recourante dispose d’une pleine capacité de travail.</w:t>
      </w:r>
    </w:p>
    <w:p>
      <w:r>
        <w:rPr>
          <w:b/>
        </w:rPr>
        <w:t>E. 9</w:t>
      </w:r>
    </w:p>
    <w:p>
      <w:r>
        <w:t>Les arguments de la recourante ne permettent pas de parvenir à une autre appréciation. D’une part, les graves troubles de la personnalité qu’elle allègue ne sont pas établis. Il n’y a en particulier pas trace dans son dossier d’un document attestant d’une aggravation de ses troubles en 2005 et démontrant qu’ils sont à l’origine de la cessation de l’exploitation d’un bureau de tabac. Son affirmation, selon laquelle les troubles de la personnalité entraînent des crises d’angoisse justifiant des hospitalisations, n’est pas non plus étayée. A lire les rapports établis par les HUG, il semble en réalité que les séjours soient en lien avec un conflit conjugal et ne soient pas survenus en raison d’un trouble de la personnalité. Quant à la fréquence des crises, seuls quatre épisodes en dix ans ressortent du dossier médical, si bien qu’on ne saurait conclure à une incapacité de travail totale à ce titre. La recourante semble d’ailleurs admettre que son état de santé s’améliore grâce au traitement médical. Elle évoque certes des effets secondaires incapacitants. Cependant, cette dernière allégation n’est pas non plus étayée et la Dresse D__________ ne mentionne pas de tels effets secondaires. Par surabondance, même s’il fallait admettre les conclusions de la Dresse D__________, il convient de souligner s’agissant du traitement médical et du suivi qu’il ressort effectivement des rapports de cette praticienne que la compliance de la recourante est loin d’être optimale. Bien que ce médecin ne décrive pas de manière</w:t>
      </w:r>
    </w:p>
    <w:p>
      <w:r>
        <w:t>A/2391/2013 - 13/15 - détaillée les mesures médicales qui permettraient de réduire les limitations qu’elle retient chez la recourante, on peut supposer au vu des différents éléments du dossier et du recours aux médecins durant les périodes de crise uniquement qu’elle fait référence à un traitement plus régulier. Or, selon l’art. 7 al. 1 LAI, l’assuré doit entreprendre tout ce qui peut être raisonnablement exigé de lui pour réduire la durée et l'étendue de l'incapacité de travail (art. 6 LPGA) et pour empêcher la survenance d'une invalidité (art. 8 LPGA). L’art. 7 al. 2 let. d LAI dispose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traitements médicaux au sens de l'art. 25 LAMal. Selon la lettre même de l’art. 28 al. 1 let. a LAI, le droit à la rente est subsidiaire à des mesures de réadaptation permettant de rétablir, maintenir ou améliorer la capacité de gain de l’assuré. Partant, la recourante n’a pas droit à une rente si un traitement médical raisonnablement exigible permettrait de réduire une éventuelle incapacité de travail ou de gain.</w:t>
      </w:r>
    </w:p>
    <w:p>
      <w:r>
        <w:rPr>
          <w:b/>
        </w:rPr>
        <w:t>E. 10</w:t>
      </w:r>
    </w:p>
    <w:p>
      <w:r>
        <w:t>Enfin, il faut souligner que la recourante était femme au foyer lors du dépôt de sa demande. Selon l’art. 28a al. 2 LAI, l'invalidité de l'assuré qui n'exerce pas d'activité lucrative et dont on ne peut raisonnablement exiger qu'il en entreprenne une est évaluée, en dérogation à l'art. 16 LPGA, en fonction de son incapacité à accomplir ses travaux habituels. L’art. 27 1ère phrase du règlement sur l’assurance- invalidité (RAI ; RS 831.201) dispose que par travaux habituels des assurés travaillant dans le ménage, il faut entendre notamment l'activité usuelle dans le ménage, l'éducation des enfants ainsi que toute activité artistique ou d'utilité publique. Or, selon la description faite par la recourante au Dr E__________ de ses journées, elle s’occupe du ménage, des emplettes et des repas dans son foyer et prend soin de ses proches. La recourante a au demeurant admis dans ses observations du 8 mars 2013 qu’elle parvenait à faire face aux exigences de sa vie quotidienne en dehors des périodes de crise, avant de revenir – sans explication – sur cette déclaration dans son écriture du 19 juillet 2013. On doit donc admettre que sa capacité à s’occuper des travaux du ménage n’est pas altérée par les éventuelles atteintes psychiques. Eu égard à ces éléments, la recourante ne présente pas d’invalidité.</w:t>
      </w:r>
    </w:p>
    <w:p>
      <w:r>
        <w:rPr>
          <w:b/>
        </w:rPr>
        <w:t>E. 11</w:t>
      </w:r>
    </w:p>
    <w:p>
      <w:r>
        <w:t>La recourante conclut encore à la mise en œuvre d’une expertise. Si le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w:t>
      </w:r>
    </w:p>
    <w:p>
      <w:r>
        <w:t>A/2391/2013 - 14/15 - art. 61 ; ATF 130 II 425 consid. 2.1; ATF 124 V 90 consid. 4b; ATF 122 V 157 consid. 1d). En l’espèce, dans la mesure où la recourante ne produit aucun document médical qui justifierait que l’on s’écarte des conclusions du Dr E__________ et se contente d’opposer son appréciation aux constatations du médecin examinateur, une telle mesure s’avère superflue, par appréciation anticipée des preuves.</w:t>
      </w:r>
    </w:p>
    <w:p>
      <w:r>
        <w:rPr>
          <w:b/>
        </w:rPr>
        <w:t>E. 12</w:t>
      </w:r>
    </w:p>
    <w:p>
      <w:r>
        <w:t>La décision de l’intimé sera confirmée. La recourante, qui succombe, n’a pas droit à des dépens (art. 61 let. g LPGA). La procédure n'est pas gratuite (art. 69 al. 1bis LAI). Toutefois, la recourante étant au bénéfice de l’assistance judiciaire, il y a lieu de renoncer au paiement d'un émolument conformément à l’art. 13 al. 1 du règlement sur les frais, émolument et indemnités en procédure administrative du 30 juillet 1986 (RFPA ; RSG E 5 10.03).</w:t>
      </w:r>
    </w:p>
    <w:p>
      <w:r>
        <w:t>A/2391/2013 - 15/15 -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