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ATAS/1206/2020 vom 14. Dezember 2020</w:t>
      </w:r>
    </w:p>
    <w:p>
      <w:r>
        <w:t>GE Cour de justice, 2020-12-14, FR</w:t>
      </w:r>
    </w:p>
    <w:p>
      <w:r>
        <w:rPr>
          <w:b/>
        </w:rPr>
        <w:t xml:space="preserve">Quelle: </w:t>
      </w:r>
      <w:r>
        <w:t>https://mcp.opencaselaw.ch/entscheid/ge_gerichte_ATAS_1206_2020</w:t>
      </w:r>
    </w:p>
    <w:p>
      <w:r>
        <w:t>FR: GE_GERICHTE ATAS/1206/2020 du 14 décembre 2020</w:t>
      </w:r>
    </w:p>
    <w:p>
      <w:r>
        <w:t>IT: GE_GERICHTE ATAS/1206/2020 del 14 dicembre 2020</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qu'ainsi sa compétence pour juger du cas d’espèce est établie; Que la LPGA, entrée en vigueur le 1er janvier 2003, est applicable au cas d'espèce; Qu'il s'agit en l'occurrence d'examiner la recevabilité du recours; Que l'art. 61 LPGA prévoit que la procédure devant la chambre des assurances sociales est réglée par le droit cantonal, sous réserve de ce que celui-ci respecte les exigences minimales requises par la LPGA;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w:t>
      </w:r>
    </w:p>
    <w:p>
      <w:r>
        <w:t>- 4/6-</w:t>
      </w:r>
    </w:p>
    <w:p>
      <w:r>
        <w:t>A/3423/2020 Que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Que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Qu'en l'occurrence, il n'est pas contesté que le recours a été interjeté après le délai de trente jours dès sa réception; Qu'il reste à examiner si une restitution de délai peut être accordée. Tel peut être le cas, de manière exceptionnelle, à condition que le requérant ait été empêché, sans sa faute, d’agir dans le délai fixé (art. 16 al. 3 LPA)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w:t>
      </w:r>
    </w:p>
    <w:p>
      <w:r>
        <w:t>- 5/6-</w:t>
      </w:r>
    </w:p>
    <w:p>
      <w:r>
        <w:t>A/3423/2020 [JAAC] 60/1996, consid. 5.4, p. 367; ATF 119 II 87 consid. 2a; ATF 112 V 256 consid. 2a); Qu'en l'espèce, une restitution du délai de recours au sens de l'art. 41 al. 1 LPGA ne se justifie pas. En effet, l’on ne peut considérer que la recourante a été empêchée sans sa faute d’agir dans le délai fixé; À aucun moment, dans son recours, l'intéressée ne laisse entendre qu'elle aurait été empêchée sans sa faute de déposer son recours en temps utile, et a fortiori ne sollicite-t- elle pas la restitution du délai, bien au contraire; On observe tout d'abord que ce document, qui n'a très vraisemblablement pas été rédigé par la recourante elle-même, bien que signé par elle, présente plusieurs similitudes avec le document établi ultérieurement, daté du 22 novembre 2020 et signé par Mme C______, psychologue à l'Institut médical de C______, (caractères typographiques, mention « À qui de droit »,… ); Ce document est lui aussi daté de plusieurs jours avant son envoi, respectivement (pour le recours) avant son dépôt au greffe de la juridiction; De plus, les motifs invoqués par la psychologue dans l'attestation du 22 novembre 2020, censés justifier le fait que la recourante ait déposé son recours tardivement ne sauraient expliquer sérieusement les circonstances graves et exceptionnelles devant être établies pour qu'une restitution du délai de recours au sens de l'art. 41 al. 1 LPGA puisse se concevoir; Dans le cas d'espèce, la référence à la « situation pandémique atypique » n'est en elle- même pas de nature à justifier le dépôt du recours en retard, les explications de la psychologue traitante n'expliquant pas en quoi cette situation pandémique aurait particulièrement touché et entravé la recourante, en l'empêchant d'agir en temps utile. Il en va de même de « son état actuel » au sujet duquel aucune explication sérieuse n'est donnée qui permettrait de justifier le fait que la recourante se soit trouvée, sans sa faute, empêchée d'agir, elle-même ou déléguant à un tiers le soin de déposer le recours en temps utile. On observera bien au contraire qu'au vu de la date mentionnée sur le recours, l'intéressée, qui a reçu notification de la décision entreprise le 19 septembre 2020, s'est montrée tout à fait capable de la soumettre, très vraisemblablement, à sa psychologue, largement pendant le délai de recours, en lui confiant le soin de rédiger le recours pour elle; on chercherait au demeurant en vain parmi les diagnostics énoncés (émanant du reste d'une personne qui n'est pas médecin) la justification d'un empêchement qui serait, par hypothèse, survenu entre le moment où le recours aurait été rédigé et celui où il a été déposé au siège de la juridiction; En l'absence de motif valable de restitution de délai, le recours doit être déclaré irrecevable pour cause de tardiveté.</w:t>
      </w:r>
    </w:p>
    <w:p>
      <w:r>
        <w:t>- 6/6-</w:t>
      </w:r>
    </w:p>
    <w:p>
      <w:r>
        <w:t>A/3423/2020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