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ATAS/1206/2018 vom 20. Dezember 2018</w:t>
      </w:r>
    </w:p>
    <w:p>
      <w:r>
        <w:t>GE Cour de justice, 2018-12-20, FR</w:t>
      </w:r>
    </w:p>
    <w:p>
      <w:r>
        <w:rPr>
          <w:b/>
        </w:rPr>
        <w:t xml:space="preserve">Quelle: </w:t>
      </w:r>
      <w:r>
        <w:t>https://mcp.opencaselaw.ch/entscheid/ge_gerichte_ATAS_1206_2018</w:t>
      </w:r>
    </w:p>
    <w:p>
      <w:r>
        <w:t>FR: GE_GERICHTE ATAS/1206/2018 du 20 décembre 2018</w:t>
      </w:r>
    </w:p>
    <w:p>
      <w:r>
        <w:t>IT: GE_GERICHTE ATAS/1206/2018 del 20 dicembre 2018</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recours a été adressé dans les forme et délai légaux (art. 56ss LPGA), de sorte qu'il est recevable ; Que selon l’art. 25 al. 1 LPGA, les prestations indûment touchées doivent être restituées ; que la restitution ne peut être exigée lorsque l'intéressé était de bonne foi et qu'elle le mettrait dans une situation difficile ; Que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qu’est déterminant, pour apprécier s'il y a une situation difficile, le moment où la décision de restitution est exécutoire (al. 2) ; que les autorités auxquelles les prestations ont été versées en vertu de l'art. 20 LPGA ou des dispositions des lois spéciales ne peuvent invoquer le fait qu'elles seraient mises dans une situation difficile (al. 3) ; que la demande de remise doit être présentée par écrit ; qu’elle doit être motivée, accompagnée des pièces nécessaires et</w:t>
      </w:r>
    </w:p>
    <w:p>
      <w:r>
        <w:t>A/4170/2018 - 3/4 - déposée au plus tard 30 jours à compter de l'entrée en force de la décision de restitution (al. 4) ; que la remise fait l'objet d'une décision (al. 5) ; Que dans ses écritures du 26 novembre 2018, l’assuré a expressément sollicité la remise de la somme de CHF 24'824.- dont la restitution lui est réclamée ; qu’il fait valoir qu’il est de bonne foi et que sa situation financière ne lui permet pas de rembourser une telle somme ; Qu’une telle demande relève de la compétence du SPC ; Qu’en conséquence, le recours sera déclaré irrecevable et transmis au SPC pour examen de la remise et nouvelle décision sujette à recours ;</w:t>
      </w:r>
    </w:p>
    <w:p>
      <w:r>
        <w:t>A/4170/2018 - 4/4 -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