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ATAS/1205/2019 vom 20. Dezember 2019</w:t>
      </w:r>
    </w:p>
    <w:p>
      <w:r>
        <w:t>GE Cour de justice, 2019-12-20, FR</w:t>
      </w:r>
    </w:p>
    <w:p>
      <w:r>
        <w:rPr>
          <w:b/>
        </w:rPr>
        <w:t xml:space="preserve">Quelle: </w:t>
      </w:r>
      <w:r>
        <w:t>https://mcp.opencaselaw.ch/entscheid/ge_gerichte_ATAS_1205_2019</w:t>
      </w:r>
    </w:p>
    <w:p>
      <w:r>
        <w:t>FR: GE_GERICHTE ATAS/1205/2019 du 20 décembre 2019</w:t>
      </w:r>
    </w:p>
    <w:p>
      <w:r>
        <w:t>IT: GE_GERICHTE ATAS/1205/2019 del 20 dicembre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d’invalidité supérieure à un trois quart de rente dès le 1er août 2015 et sans limite de temps.</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w:t>
      </w:r>
    </w:p>
    <w:p>
      <w:r>
        <w:t>A/652/2018 - 17/34 -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w:t>
      </w:r>
    </w:p>
    <w:p>
      <w:r>
        <w:t>A/652/2018 - 18/34 -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8</w:t>
      </w:r>
    </w:p>
    <w:p>
      <w:r>
        <w:t>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Ces indicateurs sont classés comme suit :</w:t>
      </w:r>
    </w:p>
    <w:p>
      <w:r>
        <w:t>A/652/2018 - 19/34 -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w:t>
      </w:r>
    </w:p>
    <w:p>
      <w:r>
        <w:t>A/652/2018 - 20/34 -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w:t>
      </w:r>
    </w:p>
    <w:p>
      <w:r>
        <w:t>A/652/2018 - 21/34 -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w:t>
      </w:r>
    </w:p>
    <w:p>
      <w:r>
        <w:rPr>
          <w:b/>
        </w:rPr>
        <w:t>E. 9</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w:t>
      </w:r>
    </w:p>
    <w:p>
      <w:r>
        <w:t>A/652/2018 - 22/34 -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w:t>
      </w:r>
    </w:p>
    <w:p>
      <w:r>
        <w:rPr>
          <w:b/>
        </w:rPr>
        <w:t>E. 12</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w:t>
      </w:r>
    </w:p>
    <w:p>
      <w:r>
        <w:t>A/652/2018 - 25/34 -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15</w:t>
      </w:r>
    </w:p>
    <w:p>
      <w:r>
        <w:t>En l’occurrence, le rapport d’expertise judiciaire du 17 juillet 2019, comprenant son complément du 23 octobre 2019, fondé sur trois entretiens avec la recourante, un entretien téléphonique avec la médecin traitante, des tests psychométriques, une anamnèse personnelle, professionnelle, sociale et psychiatrique, comprenant la description des plaintes de la recourante, des constatations objectives, des diagnostics précis et une discussion étayée de chacun de ceux-ci, ainsi que des conclusions claires sur la capacité de travail de la recourante, répond aux réquisits jurisprudentiels précités pour qu’il lui soit reconnu une pleine valeur probante. Les critiques émises par le SMR et l’intimé ne sont pas à même de remettre en cause le bien-fondé des conclusions de ce rapport.</w:t>
      </w:r>
    </w:p>
    <w:p>
      <w:r>
        <w:rPr>
          <w:b/>
        </w:rPr>
        <w:t>E. 16</w:t>
      </w:r>
    </w:p>
    <w:p>
      <w:r>
        <w:t>L’experte a répondu de façon motivée et convaincante aux critiques émises par l’intimé et le SMR. A la suite de quoi, le SMR, suivi par l’intimé, a admis que la recourante était compliante au traitement de Reméron, que l’experte avait retenu des critères objectifs compatibles avec un trouble dépressif récurrent épisode actuel moyen, lequel pouvait donc être retenu, que la recourante présentait bien un trouble de la personnalité émotionnellement labile de type borderline, stabilisé depuis 2016, que les dépendances n’étaient pas sévères et qu’une exigibilité d’abstinence était rendue difficile en raison du trouble de la personnalité. Il est à relever que ces conclusions du SMR, qui reviennent sur les critiques émises dans un premier temps à l’encontre de l’expertise judiciaire, ont été prises à la suite du complément d’expertise, lequel reprend toutefois principalement les constatations et déductions explicitées par l’experte dans son rapport d’expertise. En particulier, s’agissant du trouble dépressif d’intensité moyenne, celui-ci comprenait déjà les critères permettant de conclure à un tel diagnostic et il est peu compréhensible que le SMR ait estimé que tel n’était pas le cas (avis SMR du 19 septembre 2019 p. 2). De même, le rapport d’expertise explicitait les critères du trouble de la personnalité émotionnellement labile de type borderline alors que le</w:t>
      </w:r>
    </w:p>
    <w:p>
      <w:r>
        <w:t>A/652/2018 - 26/34 - SMR avait seulement reconnu la présence de traits de personnalité borderline (avis SMR du 19 septembre 2019 p. 3) que l’intimé avait souligné que de tels traits n’équivalaient pas à la constitution d’un trouble de la personnalité (écriture intimé du 19 septembre 2019 p. 4) et que, finalement, le SMR a estimé qu’il n’avait jamais remis en question ce diagnostic (avis du SMR du 25 novembre 2019). Enfin, contrairement à l’avis du SMR, l’experte a bien effectué une analyse des indicateurs standards exigés par la jurisprudence dans son rapport d’expertise puisque son complément reprend essentiellement l’analyse effectuée dans ledit rapport et que les indicateurs font partie des questions de la mission d’expertise, auxquels l’experte a répondu.</w:t>
      </w:r>
    </w:p>
    <w:p>
      <w:r>
        <w:rPr>
          <w:b/>
        </w:rPr>
        <w:t>E. 17</w:t>
      </w:r>
    </w:p>
    <w:p>
      <w:r>
        <w:t>a. Le SMR maintient encore certains griefs, exposés ci-après, à l’encontre du rapport d’expertise, en concluant qu’après analyse des indicateurs standards, l’état de santé de la recourante est stabilisé depuis 2016 et permet, comme l’a estimé le Dr R______ le 26 octobre 2016, une capacité de travail de 50 %. b. S’agissant des indicateurs précités, le SMR estime tout d’abord que les diagnostics ont été posés sur la base d’éléments principalement subjectifs. Cette remarque entre cependant en contradiction avec la reconnaissance, par le SMR, du diagnostic de trouble dépressif récurrent, épisode actuel moyen, en constatant qu’il est fondé sur des éléments objectifs (avis du SMR du 25 novembre 2019 p. 1), du diagnostic de trouble de la personnalité émotionnellement labile, de type borderline, en disant qu’il n’a jamais été remis en question (avis du SMR du 25 novembre 2019 p. 2), ainsi que des syndromes de dépendance à l’alcool et au cannabis, admis également (avis du SMR du 25 novembre 2019 p. 2). Finalement, seul le diagnostic de trouble anxieux a été contesté par le SMR, au motif que les descriptions de l’état anxieux demeuraient subjectives (avis du SMR du 25 novembre 2019 p. 2). Or, ce diagnostic a été englobé par l’experte dans celui d’agoraphobie avec trouble panique, jugé d’intensité moyenne à sévère et fondé tant sur l’échelle de Beck anxiété que sur l’examen clinique (expertise judiciaire p. 16). L’experte a indiqué que la recourante présentait une symptomatologie anxieuse à type d’attaque de panique lorsqu’elle était confrontée aux situations anxiogènes et qu’elle évitait celles-ci ; les constatations objectives montraient une agitation psychomotrice, de la gêne, de l’anxiété, des rires inadaptés pour couvrir ses difficultés anxieuses (complément d’expertise judiciaire p. 4). Ce diagnostic, contrairement à l’avis du SMR n’est ainsi pas uniquement fondé sur une description subjective de l’état anxieux. A cet égard, le SMR n’explique d’ailleurs pas de façon cohérente pour quels motifs il admet un trouble de la personnalité borderline tel que décrit par l’experte (expertise judiciaire p. 16 et complément d’expertise p. 4 à 6) et estime que l’agoraphobie avec trouble panique ne relèverait que d’une description subjective de la part de la recourante. En outre, le SMR n’explique pas non plus pour quel motif il retient le rapport du Dr H______ du 26 octobre 2016 comme probant, tout en écartant le diagnostic posé par l’experte d’agoraphobie avec trouble panique, alors même que le Dr H______ a posé un diagnostic de trouble anxieux et</w:t>
      </w:r>
    </w:p>
    <w:p>
      <w:r>
        <w:t>A/652/2018 - 27/34 - dépressif mixte et expliqué que le status clinique était marqué par des symptômes anxieux, une angoisse fluctuante accompagnée par des manifestations neurovégétatives, exacerbée de manière paroxystique dans la plupart des situations sociales en dehors du cercle des personnes proches, avec des comportements d’évitement des situations anxiogènes. La critique du SMR est ainsi infondée. c. S’agissant du traitement, contrairement à l’avis du SMR, l’experte s’est prononcée de façon suffisamment précise en indiquant que la recourante avait bénéficié d’un suivi addictologique de 2011 à 2014 avec un succès limité, qu’elle s’investissait dans le suivi de type psychiatrique-psychothérapeutique mis en place et que les mesures médicales étaient adaptées. Un traitement de Reméron (antidépresseur) avait été mis en place en octobre 2012, avec une réponse favorable au niveau des troubles du sommeil, mais sans effet notable sur l’humeur (expertise judiciaire p. 10) et le dosage de ce médicament indiquait une compliance au traitement, avec un taux plasmatique correct ; ce traitement pharmacologique était adapté (complément d’expertise p. 3) et consistait en la prise de Mirtazapine 45 mg/ jour (complément d’expertise p. 8). Au vu de ce qui précède, le traitement, soit la prise de Reméron et le suivi psychothérapeutique, est considéré comme étant adapté, l’observance est correcte mais le traitement n’a pas permis une amélioration conséquente au niveau de la symptomatologie clinique ; en particulier, la critique du SMR n’est pas pertinente dès lors que, d’une part, le traitement médicamenteux a été décrit par l’experte soit une prise de Reméron 45 mg/jour (complément d’expertise p. 8) et correspond à celui indiqué en 2016 par le Dr H______ (45mg/jour) et, d’autre part, l’experte a considéré qu’il était adapté. d. Le SMR conteste encore le constat de l’experte selon lequel le trouble de la personnalité intensifie et aggrave les autres troubles psychiatriques, au motif que celui-ci est stable depuis plusieurs années. Or, l’experte a expliqué que, malgré la stabilisation de ce trouble, il interférait avec les autres troubles par l’aspect de l’impulsivité, l’instabilité affective, l’intolérance à la frustration, la projectivité et l’incapacité à se remettre en question ; il péjorait aussi le pronostic des autres troubles (expertise judiciaire p. 17) ; elle a précisé que ce n’était pas parce que ce trouble n’était plus décompensé (comme cela avait été le cas auparavant) qu’il n’interférait pas avec les autres comorbidités psychiatriques (dépressive, anxieuse et addictive ; complément d’expertise p. 6). La critique du SMR, non motivée sur ce dernier aspect, n’est ainsi pas pertinente. e. S’agissant des ressources, le SMR estime que la recourante bénéficie de celles émanant des personnes avec qui elle vit en colocation, de façon « indéniable ». Or, l’experte a précisé que la recourante avait très peu de ressources, que la gestion du quotidien était complexe, que le contexte social était précaire et constitué par la logeuse, qui était âgée et dépendante au jeu et son fils, qui était dépendant à</w:t>
      </w:r>
    </w:p>
    <w:p>
      <w:r>
        <w:t>A/652/2018 - 28/34 - l’alcool, (même si la consommation de celui-ci semblait contenue à l’heure actuelle ; complément d’expertise p. 7). On ne saurait, dans ces conditions retenir, comme le fait le SMR, que la recourante dispose de ressources « indéniables ». f. Le SMR considère que les limitations fonctionnelles ne sont pas uniformes dans tous les domaines de la vie car la recourante se prépare à manger, fait le ménage, s’occupe de ses chiens et va seule à ses rendez-vous. Or, l’experte a indiqué que les limitations de la recourante étaient uniformes et qu’en dehors des activités précitées, la recourante n’avait pas d’activité sociale ; ces limitations avaient touché le social, le relationnel et par la suite le professionnel (complément d’expertise p. 8). Par ailleurs, l’experte a indiqué que la recourante était complètement empêchée au niveau administratif et financier et qu’elle était même entravée dans sa capacité à maintenir de manière régulière son ménage et son alimentation, de sorte que, si elle vivait seule, une aide au ménage serait nécessaire (expertise judiciaire p. 21). Au vu de ce qui précède, on constate que la recourante présente des limitations fonctionnelles de façon uniforme dans tous les domaines de la vie, même s’il est admis qu’elle conserve une certaine capacité à gérer son ménage, ses chiens et ses rendez-vous médicaux. On ne saurait retenir, comme le fait le SMR, que les limitations du niveau des activités ne sont pas uniformes dans tous les domaines de la vie du seul fait que la recourante possède encore et seulement la capacité de se faire à manger, à assumer, en partie, son ménage et à sortir seule. g. Enfin, le SMR estime que l’experte n’a pas expliqué pourquoi elle s’écartait du rapport du Dr H______ du 26 octobre 2016. Or, l’experte a indiqué à cet égard précisément pour quel motif le Dr H______ avait retenu à tort un diagnostic de traits de personnalité évitante et n’avait pas retenu celui de trouble de la personnalité émotionnellement labile de type borderline, lequel était central ; elle a souligné que l’évaluation du Dr H______ était en discordance avec celle des médecins ayant suivi l’assurée depuis 2011 et que, dans son pronostic, il ne prenait pas en compte les traitements suivis par la recourante qui n’avaient pas amélioré les troubles, ni permis une amélioration durable de la capacité de travail (expertise judiciaire p. 21 - 22). Ces arguments sont suffisants pour considérer que l’experte s’est écartée de façon convaincante de l’évaluation faite en 2016 par le Dr H______, étant par ailleurs relevé que le SMR n’explique pas pour quel motif le rapport de ce médecin, ancien, aurait une force probante supérieure à celui de l’expertise judiciaire, complète et étayée.</w:t>
      </w:r>
    </w:p>
    <w:p>
      <w:r>
        <w:rPr>
          <w:b/>
        </w:rPr>
        <w:t>E. 18</w:t>
      </w:r>
    </w:p>
    <w:p>
      <w:r>
        <w:t>Au vu de ce qui précède, les conclusions de l’expertise judiciaire doivent être suivies, de sorte que la recourante est reconnue totalement incapable de travailler, à tout le moins depuis août 2014, moment déterminant pour le début de l’incapacité de travail de la recourante, le droit à une rente d’invalidité ne pouvant être reconnu que dès août 2015, puisque la demande de prestation de la recourante a été déposée le 20 février 2015. En particulier, l’état de santé de la recourante ne s’est pas</w:t>
      </w:r>
    </w:p>
    <w:p>
      <w:r>
        <w:t>A/652/2018 - 29/34 - amélioré depuis le 1er octobre 2016 et celle-ci présente toujours une incapacité de travail totale dans toute activité, au-delà du 1er octobre 2016.</w:t>
      </w:r>
    </w:p>
    <w:p>
      <w:r>
        <w:rPr>
          <w:b/>
        </w:rPr>
        <w:t>E. 19</w:t>
      </w:r>
    </w:p>
    <w:p>
      <w:r>
        <w:t>a.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 b. Selon l’art. 27bis RAI en vigueur depuis le 1er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w:t>
      </w:r>
    </w:p>
    <w:p>
      <w:r>
        <w:t>A/652/2018 - 30/34 -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w:t>
      </w:r>
    </w:p>
    <w:p>
      <w:r>
        <w:rPr>
          <w:b/>
        </w:rPr>
        <w:t>E. 20</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w:t>
      </w:r>
    </w:p>
    <w:p>
      <w:r>
        <w:t>A/652/2018 - 31/34 -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arrêt du Tribunal fédéral 9C_625/2017 du 26 mars 2018 consid. 6.2 et arrêt du Tribunal fédéral des assurances I 733/06 du 16 juillet 2007).</w:t>
      </w:r>
    </w:p>
    <w:p>
      <w:r>
        <w:rPr>
          <w:b/>
        </w:rPr>
        <w:t>E. 21</w:t>
      </w:r>
    </w:p>
    <w:p>
      <w:r>
        <w:t>En l’occurrence, l’intimé a procédé à une enquête économique, dont le rapport du 18 septembre 2017 conclut à un empêchement de 3 %. La recourante ne conteste pas spécifiquement l’évaluation des postes à laquelle l’enquêtrice a procédé. Ce rapport, qui répond aux critères jurisprudentiel précités, a pleine valeur probante. L’avis de la Dresse K______ du 18 avril 2018, selon lequel la recourante n’est pas apte à faire les activités de ménage à long terme, avec régularité, en vue de préserver une hygiène de vie bien adaptée, ne permet pas de remettre en cause les constatations de l’enquêtrice, en particulier la prise en compte du fait que la recourante peut vaquer tranquillement aux tâches de la maison, sans stress et les répartir sur toute la semaine. Il en est de même des remarques de l’experte lorsqu’elle estime que la recourante est totalement empêchée au niveau administratif et qu’elle peut être entravée dans sa capacité à maintenir de manière régulière son ménage et son alimentation (expertise judiciaire p. 21). Par ailleurs, le rapport d’enquête a considéré que la recourante ne devait entretenir, seule, que sa chambre à coucher, les autres pièces étant communes et qu’elle bénéficiait de l’aide de ses colocataires dans l’entretien de celles-ci. La recourante n’a pas contesté ce fait. Au vu de ce qui précède, un empêchement ménager de 3 % doit être confirmé.</w:t>
      </w:r>
    </w:p>
    <w:p>
      <w:r>
        <w:rPr>
          <w:b/>
        </w:rPr>
        <w:t>E. 22</w:t>
      </w:r>
    </w:p>
    <w:p>
      <w:r>
        <w:t>Le calcul du degré d’invalidité est le suivant dès l’année 2015 : Activité Incapacité de travail / Invalidité</w:t>
      </w:r>
    </w:p>
    <w:p>
      <w:r>
        <w:t>A/652/2018 - 32/34 - empêchement Lucrative 60 % 100 % 60 % Ménagère 40 % 3 % 1 % Total</w:t>
      </w:r>
    </w:p>
    <w:p>
      <w:r>
        <w:t>61 %</w:t>
      </w:r>
    </w:p>
    <w:p>
      <w:r>
        <w:t>Un degré d’invalidité de 61 % donne droit à un trois quarts de rente d’invalidité.</w:t>
      </w:r>
    </w:p>
    <w:p>
      <w:r>
        <w:t>En particulier, la recourante n’a pas recouvré en octobre 2016 une capacité de travail de 50 %. En conséquence, le droit de la recourante à un trois quarts de rente d’invalidité est dû au-delà du 31 décembre 2016.</w:t>
      </w:r>
    </w:p>
    <w:p>
      <w:r>
        <w:rPr>
          <w:b/>
        </w:rPr>
        <w:t>E. 23</w:t>
      </w:r>
    </w:p>
    <w:p>
      <w:r>
        <w:t>a. 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w:t>
      </w:r>
    </w:p>
    <w:p>
      <w:r>
        <w:t>A/652/2018 - 33/34 -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 b. En l’espèce, l’intimé s’est basé sur le rapport du Dr H______ du 26 octobre 2016 pour rendre la décision litigieuse. Compte tenu de l’avis de la Dresse K______, divergent, il aurait dû instruire médicalement le cas. Les frais de l’expertise judiciaire de CHF 4’962 59, seront en conséquence mis à sa charge.</w:t>
      </w:r>
    </w:p>
    <w:p>
      <w:r>
        <w:rPr>
          <w:b/>
        </w:rPr>
        <w:t>E. 24</w:t>
      </w:r>
    </w:p>
    <w:p>
      <w:r>
        <w:t>Au vu de ce qui précède, le recours doit être partiellement admis et la décision litigieuse réformée, dans le sens que la recourante a droit à un trois quarts de rente d’invalidité dès le 1er août 2015.</w:t>
      </w:r>
    </w:p>
    <w:p>
      <w:r>
        <w:rPr>
          <w:b/>
        </w:rPr>
        <w:t>E. 25</w:t>
      </w:r>
    </w:p>
    <w:p>
      <w:r>
        <w:t>Aux termes de l’art. 61 let. g LPGA, le recourant qui obtient gain de cause à droit à des dépens. Cependant, lorsqu’un assuré est représenté par une institution de droit public qui ne tire pas ses ressources des cotisations ou du soutien financier de ses membres, il n’y a pas de justification économique à l’octroi de dépens (ATF 126 V 11 consid. 5). Tel est le cas en l’espèce, la recourante étant défendue par une autorité administrative. Etant donné que, depuis le 1er juillet 2006, la procédure n'est plus gratuite (art. 69 al. 1bis LAI), au vu du sort du recours, il y a lieu de condamner l'intimé au paiement d'un émolument de CHF 500.-.</w:t>
      </w:r>
    </w:p>
    <w:p>
      <w:r>
        <w:t>A/652/2018 - 34/34 -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