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ATAS/1204/2013 vom 9. Dezember 2013</w:t>
      </w:r>
    </w:p>
    <w:p>
      <w:r>
        <w:t>GE Cour de justice, 2013-12-09, FR</w:t>
      </w:r>
    </w:p>
    <w:p>
      <w:r>
        <w:rPr>
          <w:b/>
        </w:rPr>
        <w:t xml:space="preserve">Quelle: </w:t>
      </w:r>
      <w:r>
        <w:t>https://mcp.opencaselaw.ch/entscheid/ge_gerichte_ATAS_1204_2013</w:t>
      </w:r>
    </w:p>
    <w:p>
      <w:r>
        <w:t>FR: GE_GERICHTE ATAS/1204/2013 du 9 décembre 2013</w:t>
      </w:r>
    </w:p>
    <w:p>
      <w:r>
        <w:t>IT: GE_GERICHTE ATAS/1204/2013 del 9 dicembre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c'est à juste titre que l'administration a refusé d'entrer en matière sur la nouvelle demande de prestations de l’assurance invalidité déposée par l'assurée.</w:t>
      </w:r>
    </w:p>
    <w:p>
      <w:r>
        <w:t>A/1615/2013 - 11/14 -</w:t>
      </w:r>
    </w:p>
    <w:p>
      <w:r>
        <w:rPr>
          <w:b/>
        </w:rPr>
        <w:t>E. 5</w:t>
      </w:r>
    </w:p>
    <w:p>
      <w:r>
        <w:t>a) Aux termes de l'art. 87 al. 3 et 4 RAI (al. 2 et 3 depuis le 1er janvier 2012), la nouvelle demande ne peut être examinée que si l'assuré établit de manière plausible que son invalidité s'est modifiée de façon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 En cas de recours, cet examen matériel incombe au juge (ATF 117 V 198 consid. 3a).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b)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w:t>
      </w:r>
    </w:p>
    <w:p>
      <w:r>
        <w:t>A/1615/2013 - 12/14 -</w:t>
      </w:r>
    </w:p>
    <w:p>
      <w:r>
        <w:rPr>
          <w:b/>
        </w:rPr>
        <w:t>E. 6</w:t>
      </w:r>
    </w:p>
    <w:p>
      <w:r>
        <w:t>En l'espèce, se fondant sur l'avis du SMR, l'OAI a retenu que les rapports des médecins de l'assurée, versés à l'appui de la nouvelle demande de prestations déposée le 3 septembre 2012, ne faisaient pas état d'une aggravation objective de l'état de santé physique ou psychique de la recourante. Le rapport de la Dresse L___________ du 13 janvier 2013 mentionne, au titre d’aggravation de l’état de santé de l’assurée, les migraines. Or, les diagnostics de migraines et d’arthrose interapophysaire postérieure avaient été posés en 2008 déjà. Ils n’avaient pas justifiés de révision de la rente à l’époque, ce que l’assurée n’avait pas contesté. Les cervico-dorso-lombalgies aigues, deuxième aggravation de l’état de santé citée par la Dresse L___________ dans son certificat médical du 13 janvier 2013, étaient déjà diagnostiquées dans son rapport du 27 juin 2004. La fracture de la V côte antérieure droite semble être liée à l’accident. Or, la même praticienne a établi, le 19 septembre 2012, un certificat médical suite à l’accident lequel indique que l’incapacité de travail était totale à compter du 19 septembre 2012, mais que la patiente retrouverait sa pleine capacité de travail « selon évolution clinique ». Il n’était pas envisagé que les suites de l’accident impliquent une incapacité de travail durable. Le précédent certificat médical de la Dresse L___________, daté du 20 septembre 2012 est quasiment similaire en tous points à celui du 5 juillet 2004. La Dresse L___________ précise d’ailleurs que les plaintes de la patiente « restent les mêmes à savoir la persistance d’importantes douleurs handicapantes au niveau du rachis CDLombaire de façon continue ainsi qu’au niveau du MSG ». La remarque selon laquelle « depuis l’accident de circulation, l’état de santé de la patiente se péjore, tant sur le plan physique que psychique, ce qui ne lui permet pas de travailler », n’est étayée par aucun élément concret ou certificat médical de spécialiste qui mettrait en avant de façon claire et précise une péjoration, invalidante, de l’état de la patiente. Sur le plan somatique, les autres certificats médicaux produits par l’assurée (la radiographie du rachis cervical, l’échographie du cou et celle du poignet) concluent à des résultats dans la norme, sous réserve de troubles passagers ou en tous les cas non invalidants à l’instar de l’hernie hiatale avec reflux sans oesophagite peptique. Sur le plan psychique, l’état anxio-dépressif cité par la Dresse L___________ le 13 janvier 2013 avait déjà été diagnostiqué en 2004. Il avait fait l’objet d’une expertise psychiatrique. L’expert n’avait pas retenu de diagnostic psychiatrique autre que le trouble somatoforme douloureux. La comparaison entre l’état de santé de l’assurée depuis la dernière demande de prestations AI (mars 2011) et la présente demande ne s’est pas péjoré de manière essentielle depuis la dernière décision. Ainsi, quand bien même on ferait abstraction des différentes demandes de révision, en comparant l'évolution de l'état de santé de l'assuré depuis 2004, il s'avère que l'appréciation des conséquences des troubles de la santé sur la capacité de travail en 2012 ne diffère pas de celle retenue antérieurement.</w:t>
      </w:r>
    </w:p>
    <w:p>
      <w:r>
        <w:t>A/1615/2013 - 13/14 - Aussi, dans la mesure où la recourante n'a pas rendu plausible le fait que son degré d'invalidité s'était modifié de manière à influencer ses droits, c'est à juste titre que l'OAI a refusé d'entrer en matière sur la nouvelle demande. Au demeurant, le juge n'a pas à instruire les aspects médicaux du dossier par l'audition des médecins, voire une expertise, puisqu'il doit se contenter d'examiner si l'assuré a rendu vraisemblable l'aggravation de son état de santé dans le délai fixé par l'OAI pour ce faire, ce qui n'est pas le cas.</w:t>
      </w:r>
    </w:p>
    <w:p>
      <w:r>
        <w:rPr>
          <w:b/>
        </w:rPr>
        <w:t>E. 7</w:t>
      </w:r>
    </w:p>
    <w:p>
      <w:r>
        <w:t>Le recours, mal fondé, est rejeté. Le recourant est condamné au paiement d'un émolument de 200 fr. (art. 69 al. 1bis LAI).</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