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ATAS/1204/2011 vom 6. Dezember 2011</w:t>
      </w:r>
    </w:p>
    <w:p>
      <w:r>
        <w:t>GE Cour de justice, 2011-12-06, FR</w:t>
      </w:r>
    </w:p>
    <w:p>
      <w:r>
        <w:rPr>
          <w:b/>
        </w:rPr>
        <w:t xml:space="preserve">Quelle: </w:t>
      </w:r>
      <w:r>
        <w:t>https://mcp.opencaselaw.ch/entscheid/ge_gerichte_ATAS_1204_2011</w:t>
      </w:r>
    </w:p>
    <w:p>
      <w:r>
        <w:t>FR: GE_GERICHTE ATAS/1204/2011 du 6 décembre 2011</w:t>
      </w:r>
    </w:p>
    <w:p>
      <w:r>
        <w:t>IT: GE_GERICHTE ATAS/1204/2011 del 6 dicembre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 présent recours est recevable (art. 56 à 61 LPGA).</w:t>
      </w:r>
    </w:p>
    <w:p>
      <w:r>
        <w:rPr>
          <w:b/>
        </w:rPr>
        <w:t>E. 4</w:t>
      </w:r>
    </w:p>
    <w:p>
      <w:r>
        <w:t>Le litige porte sur le fait de savoir si c’est à juste titre que la SUVA a refusé d’augmenter la rente d’invalidité allouée au recourant, en raison de ses troubles psychiques, et singulièrement sur le lien de causalité entre ces troubles et l’événement survenu en date du 4 février 2000. Il sera précisé que la révision de la rente eu égard aux troubles somatiques du recourant n’est pas litigieuse.</w:t>
      </w:r>
    </w:p>
    <w:p>
      <w:r>
        <w:t>A/2287/2011 - 9/15 -</w:t>
      </w:r>
    </w:p>
    <w:p>
      <w:r>
        <w:rPr>
          <w:b/>
        </w:rPr>
        <w:t>E. 5</w:t>
      </w:r>
    </w:p>
    <w:p>
      <w:r>
        <w:t>Aux termes de l’art. 17 LPGA, si le degré d'invalidité du bénéficiaire subit une modification notable, la rente est, d'office ou sur demande, révisée pour l'avenir (augmentée, réduite ou supprimée). Tout changement important des circonstances propre à influencer le droit à la rente peut motiver une révision au sens de l'art. 17 LPGA. La rente peut être révisée en cas de modification sensible de l'état de santé ou lorsque celui-ci est resté le même mais que ses conséquences sur la capacité de gain ont subi un changement important (ATF 130 V 343 consid. 3.5 p. 349 ss, 113 V 273 consid. 1a p. 275, ATF 112 V 371 consid. 2b p. 372 s., 387 consid. 1b p. 390 s.).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w:t>
      </w:r>
    </w:p>
    <w:p>
      <w:r>
        <w:rPr>
          <w:b/>
        </w:rPr>
        <w:t>E. 6</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w:t>
      </w:r>
    </w:p>
    <w:p>
      <w:r>
        <w:t>A/2287/2011 - 10/15 - Il incombe à l'assuré d'établir, au degré de vraisemblance prépondérante, l'existence d'un rapport de causalité naturelle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naturelle doivent être sévères (RAMA 1997 n° U 275 p. 191 consid. 1c ; cf. également ATF 8C_102/2008 du 16 septembre 2008 consid. 2.2).</w:t>
      </w:r>
    </w:p>
    <w:p>
      <w:r>
        <w:rPr>
          <w:b/>
        </w:rPr>
        <w:t>E. 7</w:t>
      </w:r>
    </w:p>
    <w:p>
      <w:r>
        <w:t>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b)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w:t>
      </w:r>
    </w:p>
    <w:p>
      <w:r>
        <w:t>A/2287/2011 - 11/15 - ce résultat paraissant de façon générale favorisée par une telle circonstance (ATF 129 V 177 consid. 3.2, 402 consid. 2.2, 125 V 461 consid. 5a et les références).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w:t>
      </w:r>
    </w:p>
    <w:p>
      <w:r>
        <w:t>A/2287/2011 - 12/15 - (ATF 125 V 353 consid. 3b/ee, ATFA non publié du 13 mars 2000, I 592/99, consid. b/ee).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a) Dans la décision sur opposition litigieuse, la SUVA a nié le rapport de causalité naturelle entre les troubles psychiques présentés par le recourant et l’accident du mois de février 2000, en se fondant sur les rapports des Drs Q__________ et P__________, alors que le recourant soutient le contraire, en se basant sur les mêmes rapports. b) En l’occurrence, le Dr Q__________ a estimé, en mars 2011, que le recourant ne présentait aucun trouble psychique majeur manifeste qui puisse être en relation de causalité naturelle avec l’accident du 4 février 2000. En effet, d’après lui, le diagnostic de trouble de l’adaptation, qui a été retenu par le Dr P__________, ne pouvait apparaître 8 ans (en 2008) après un événement traumatique et être en relation de causalité naturelle avec cet événement. En outre, attendu que ce médecin avait déclaré, d’une part, que le trouble de la personnalité existait bien avant l’accident du 4 février 2000 et d’autre part, que l’assuré n’avait jamais supporté aucune autorité, le Dr Q__________ a conclu qu’il était vraisemblable que les troubles actuels étaient bien plus en lien avec la confrontation à une autorité « intransigeante » qu’avec l’événement accidentel. c) Il sera constaté que si l’appréciation du Dr Q__________ n’est certes pas dûment motivée, comme l’exige la jurisprudence, pour qu’il lui soit conféré pleine valeur probante, force est toutefois de constater qu’il tire simplement les conclusions des diverses constatations du Dr P__________. En effet, ce médecin, qui est le psychiatre du recourant, pose en substance les diagnostics de trouble de la personnalité, sans précision, et de traits de personnalité paranoïaque et de personnalité évitante, lesquels réduisent à néant la capacité de travail du recourant dès le mois de janvier 2009, étant précisé que le trouble de l’adaptation et la réaction dépressive retenus en janvier 2009 ont été abandonnés</w:t>
      </w:r>
    </w:p>
    <w:p>
      <w:r>
        <w:t>A/2287/2011 - 13/15 - par la suite. Le Dr P__________ explique que les troubles de la personnalité étaient présents chez le recourant depuis l’adolescence et que celui-ci avait toujours eu des difficultés liées à l’autorité que ce soit à l’école ou dans les différentes activités qu’il a exercé avant l’année 2000, où il pouvait rencontrer des relations conflictuelles avec sa hiérarchie. Ces troubles engendraient, d’après le Dr P__________, un handicap durable dans sa capacité à s’intégrer à un emploi et à s’adapter aux règles d’un employeur, à moins qu’il ne soit indépendant, comme il l’avait été durant quelques années lorsqu’il travaillait dans une discothèque (entre 1997 et 1999). En outre, ce médecin parle également à plusieurs reprises des conflits opposant le recourant à ses différents assureurs et du fait que ces conflits accentuaient son sentiment d’insécurité et ne favorisaient pas son fonctionnement psychologique, lequel ne s’était pas modifié depuis l’adolescence. Enfin, le médecin a exposé les souffrances et les craintes de l'assuré face à l’avenir, et notamment face à l’insécurité financière, à la gestion de son état de santé somatique ou à la reprise d’une activité lucrative. Pour le surplus, il a notamment motivé le fait que le recourant présentait déjà différents troubles psychiatriques avant l’année 2000, en produisant un rapport du 19 mai 1994 du Dr Q__________, psychiatre et psychothérapeute, lequel avait notamment relevé les comportements d’évitement du recourant ou sa personnalité phobique, de sorte qu’il l’avait déclaré inapte au service militaire. Ainsi, il est établi que les troubles psychiques existaient déjà avant l’accident, soit dès l'adolescence, et ce en relation avec les difficultés de l'assuré face à l'autorité, que ces troubles ont été diagnostiqués et considérés comme invalidants seulement huit ans après l'accident et que le psychiatre traitant estime que la cause essentielle est due aux difficultés rencontrées par le recourant dans ses relations avec ses assureurs et à ses craintes liées au futur, de sorte que ces troubles ne sont pas, au degré de la vraisemblance prépondérante, en lien de causalité naturelle avec l'accident, qui n'en est que la cause possible. Il convient de relever, à cet égard, que la simple constatation que le recourant ait été asymptomatique avant l’accident et que les symptômes des troubles psychiques soient apparus après l’accident revient à se fonder sur l’adage « post hoc ergo propter hoc », lequel est impropre à établir un rapport de cause à effet entre un accident assuré et une atteinte à la santé. Le fait que les troubles sont notamment dus aux conflits avec les assureurs, sans aucun doute consécutifs à l'accident, ne suffit pas pour admettre le lien de causalité naturelle, car cette sorte de sinistrose intervient des années après que l'état de santé psychique de l'assuré ait été considéré comme stable et sans conséquence sur sa capacité de travail. De même, l'autre cause évoquée par le psychiatre traitant serait la crainte face au futur, alors que l'assuré avait une pleine capacité de travail dans une activité adaptée en 2005 déjà et que ses difficultés à s'insérer dans le monde du</w:t>
      </w:r>
    </w:p>
    <w:p>
      <w:r>
        <w:t>A/2287/2011 - 14/15 - travail sont en réalité attribuées aux relations professionnelles conflictuelles préexistantes à l'accident. d) Au vu des rapports du Dr P__________, la Cour de céans considère qu’il y a lieu de suivre l’avis du Dr Q__________ et de constater, au degré de la vraisemblance prépondérante prévu par la jurisprudence, que les troubles psychiques présentés par le recourant dès 2008, qui sont certes susceptibles de limiter sa capacité de travail dans une certaine mesure, ne sont pas en lien de causalité naturelle avec l’accident du 4 février 2000. Au demeurant, le fait que les troubles psychiques soient apparus plus de 8 ans après l’accident et qu’ils n’aient été invalidants que depuis le 1er janvier 2009, d’après le Dr P__________, conforte la Cour de céans dans cette conclusion. Pour le surplus, attendu que le caractère naturel et le caractère adéquat de la relation de causalité doivent être cumulés pour octroyer des prestations d’assurance- accidents, il n’est pas nécessaire de revenir sur ce dernier. Enfin, au vu de l’absence de causalité entre les troubles psychique et l’accident, nul n’est besoin d’examiner les conditions de la révision de la rente d’invalidité.</w:t>
      </w:r>
    </w:p>
    <w:p>
      <w:r>
        <w:rPr>
          <w:b/>
        </w:rPr>
        <w:t>E. 9</w:t>
      </w:r>
    </w:p>
    <w:p>
      <w:r>
        <w:t>Partant, c’est à juste titre que l’intimé n’a pas augmenté le taux de la rente d’invalidité du recourant. Mal fondé, le recours sera ainsi rejeté.</w:t>
      </w:r>
    </w:p>
    <w:p>
      <w:r>
        <w:t>A/2287/2011 - 15/15 -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