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ATAS/1204/2007 vom 31. Oktober 2007</w:t>
      </w:r>
    </w:p>
    <w:p>
      <w:r>
        <w:t>GE Cour de justice, 2007-10-31, FR</w:t>
      </w:r>
    </w:p>
    <w:p>
      <w:r>
        <w:rPr>
          <w:b/>
        </w:rPr>
        <w:t xml:space="preserve">Quelle: </w:t>
      </w:r>
      <w:r>
        <w:t>https://mcp.opencaselaw.ch/entscheid/ge_gerichte_ATAS_1204_2007</w:t>
      </w:r>
    </w:p>
    <w:p>
      <w:r>
        <w:t>FR: GE_GERICHTE ATAS/1204/2007 du 31 octobre 2007</w:t>
      </w:r>
    </w:p>
    <w:p>
      <w:r>
        <w:t>IT: GE_GERICHTE ATAS/1204/2007 del 31 ottobre 2007</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Ces principes commandent ainsi l'examen du bien-fondé de la décision litigieuse à la lumière des anciennes dispositions de la LAI pour la période s'étendant jusqu'au 31 décembre 2002 et au regard des nouvelles dispositions de la LPGA pour la période postérieure (voir ATF 130 V 445). Cela reste toutefois sans incidence sur le sort de cette procédure ; en effet, d'une part les normes de la LPGA sur l'invalidité (art. 8) et l'évaluation du taux de l'invalidité (art. 16) correspondent aux notions précédentes dans l'assurance- invalidité telles que développées jusque-là par la jurisprudence (ATF 130 V 343), d'autre part, in casu, le droit éventuel à une rente de l'assurance-invalidité ne prend pas naissance avant le 1er janvier 2003, compte tenu de la période d'attente. On ajoutera que les modifications de la LAI du 21 mars 2003 (4ème révision de la LAI), entrées en vigueur au 1er janvier 2004, sont applicables au présent litige au regard des critères rappelés ci-avant. Les règles de procédure quant à elles s'appliquent sans réserve dès le jour de son entrée en vigueur (ATF 117 V 93 consid. 6b, 112 V 360 consid. 4a; RAMA 1998 KV 37 p. 316 consid. 3b).</w:t>
      </w:r>
    </w:p>
    <w:p>
      <w:r>
        <w:rPr>
          <w:b/>
        </w:rPr>
        <w:t>E. 3</w:t>
      </w:r>
    </w:p>
    <w:p>
      <w:r>
        <w:t>Interjeté dans les forme et délai prescrits par la loi, le recours est recevable (art. 56 et 60 LPGA).</w:t>
      </w:r>
    </w:p>
    <w:p>
      <w:r>
        <w:rPr>
          <w:b/>
        </w:rPr>
        <w:t>E. 4</w:t>
      </w:r>
    </w:p>
    <w:p>
      <w:r>
        <w:t>Le litige porte sur la question de savoir si la recourante présente une atteinte à la santé ouvrant droit à des prestations de l'assurance-invalidité, plus particulièrement une rente.</w:t>
      </w:r>
    </w:p>
    <w:p>
      <w:r>
        <w:rPr>
          <w:b/>
        </w:rPr>
        <w:t>E. 5</w:t>
      </w:r>
    </w:p>
    <w:p>
      <w:r>
        <w:t>Selon l’art. 4 LAI, l'invalidité (art. 8 LPGA) peut résulter d'une infirmité congénitale, d'une maladie ou d'un accident. L’invalidité est réputée survenue dès</w:t>
      </w:r>
    </w:p>
    <w:p>
      <w:r>
        <w:t>A/1831/2007 - 6/12 - qu’elle est par sa nature et sa gravité, propre à ouvrir droit aux prestations entrant en considération.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w:t>
      </w:r>
    </w:p>
    <w:p>
      <w:r>
        <w:t>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 au moins, à une demi- rente s'il est invalide à 50 % au moins, ou à un quart de rente s'il est invalide à 40 % au moins; dans les cas pénibles, l'assuré peut, d'après l'art. 28 al. 1bis LAI, prétendre à une demi-rente s'il est invalide à 40 % au moins. L'entrée en vigueur, le 1er janvier 2004,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w:t>
      </w:r>
    </w:p>
    <w:p>
      <w:r>
        <w:rPr>
          <w:b/>
        </w:rPr>
        <w:t>E. 6</w:t>
      </w:r>
    </w:p>
    <w:p>
      <w:r>
        <w:t>Les atteintes à la santé psychique peuvent, comme les atteintes physiques, provoquer une invalidité au sens de l’art. 4 al. 1 LAI.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w:t>
      </w:r>
    </w:p>
    <w:p>
      <w:r>
        <w:t>A/1831/2007 - 7/12 -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Selon la jurisprudence, des troubles somatoformes douloureux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ATF 130 V 352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consid. 2.2.2).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w:t>
      </w:r>
    </w:p>
    <w:p>
      <w:r>
        <w:t>A/1831/2007 - 8/12 -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Par ailleurs, s'agissant des troubles dépressifs, il y a lieu d'observer que selon la doctrine médicale (cf. notamment DILLING/MOMBOUR/SCHMIDT [Hrsg.], Internationale Klassifikation psychischer Störungen, ICD-10 Kapitel V [F], 4ème édition, p. 191) sur laquelle s'appuie le Tribunal fédéral des assurances,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 Enfin, dans un arrêt du 8 février 2006 (ATF 132 V 65),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w:t>
      </w:r>
    </w:p>
    <w:p>
      <w:r>
        <w:t>A/1831/2007 - 9/12 -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50).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 Praxis 94/2005, 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w:t>
      </w:r>
    </w:p>
    <w:p>
      <w:r>
        <w:rPr>
          <w:b/>
        </w:rPr>
        <w:t>E. 7</w:t>
      </w:r>
    </w:p>
    <w:p>
      <w:r>
        <w:t>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A cet égard,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t>A/1831/2007 - 10/12 - S'agissant par ailleurs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8</w:t>
      </w:r>
    </w:p>
    <w:p>
      <w:r>
        <w:t>En l'espèce, il n'est pas contesté que la recourante soufre d'une fibromyalgie. Le diagnostic retenu par les experts du COMAI confirme ainsi celui du médecin- traitant. En présence d'un tel diagnostic, c'est à juste titre que l'intimé a ordonné une expertise pluridisciplinaire. Sur le plan rhumatologique, l'expert du COMAI n'a relevé aucun trouble significatif, le tonus musculaire étant normal et la mobilité des articulations périphériques conservée. Il a conclu que cette affection somatique n'altère pas la capacité de travail de la recourante de façon signification et durable, de sorte quelle présente une capacité de travail totale de ce point de vue. Enfin, sur le plan psychique, le Dr B___________ a retenu une dysthymie ainsi que des phobies spécifiques, légères et isolées; l'assurée doit éviter le travail en sous-sol. Dans le cadre de l'expertise complémentaire, l'expert psychiatre a confirmé son rapport précédent, en ce sens que l'incapacité de travail est de 20 % en moyenne, plus ou moins stable. Il a précisé toutefois que sur le plan psychique, l'assurée est capable de s'adapter à son environnement professionnel et qu'elle peut faire toutes les activités accessibles avec sa formation et son expérience. Le Tribunal de céans constate que le rapport d'expertise du COMAI est fondée sur des examens cliniques complète, qu'il comporte une anamnèse détaillée et que les experts ont pris en compte les plaintes de l'assurée. Les points litigieux ont été discutés, plus particulièrement dans le complément d'expertise psychiatrique; il en résulte que la recourante dispose d'une capacité de travail totale du point de vue somatique et qu'elle ne présente pas de comorbidité psychiatrique importante par sa gravité, son acuité et sa durée. S'agissant des autres critères découlant de la jurisprudence, si l'on peut admettre les affections corporelles chroniques, force est de constater que la recourante n'a pas de perte d'intégration sociale dans toutes les manifestations de la vie. Au demeurant, aucun de ces critères ne revêt une acuité telle que l'on ne puisse plus exiger de la recourante qu'elle exerce une activité. Au vu de ce qui précède, il y lieu d'admettre que l'atteinte à la santé de la recourante n'entraîne pas d'incapacité de gain et de travail dans les activités qu'elle a accomplies jusqu'à ce jour. Mal fondé, le recours doit être rejeté.</w:t>
      </w:r>
    </w:p>
    <w:p>
      <w:r>
        <w:t>A/1831/2007 - 11/12 -</w:t>
      </w:r>
    </w:p>
    <w:p>
      <w:r>
        <w:rPr>
          <w:b/>
        </w:rPr>
        <w:t>E. 9</w:t>
      </w:r>
    </w:p>
    <w:p>
      <w:r>
        <w:t>La loi fédérale du 16 décembre 2005 modifiant la loi fédérale sur l'assurance- invalidité est entrée en vigueur le 1er juillet 2006 (RO 2006 2003), apportant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Le présent cas est soumis au nouveau droit, dès lors que le recours a été interjeté après le 1er juillet 2006 (ch. II let. c des dispositions transitoires relatives à la modification du 16 décembre 2005). Par conséquent, un émolument, fixé en l'occurrence à 200 fr., est mis à la charge de la recourante qui succombe.</w:t>
      </w:r>
    </w:p>
    <w:p>
      <w:r>
        <w:t>A/1831/2007 - 12/12 -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