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ATAS/1202/2019 vom 20. Dezember 2019</w:t>
      </w:r>
    </w:p>
    <w:p>
      <w:r>
        <w:t>GE Cour de justice, 2019-12-20, FR</w:t>
      </w:r>
    </w:p>
    <w:p>
      <w:r>
        <w:rPr>
          <w:b/>
        </w:rPr>
        <w:t xml:space="preserve">Quelle: </w:t>
      </w:r>
      <w:r>
        <w:t>https://mcp.opencaselaw.ch/entscheid/ge_gerichte_ATAS_1202_2019</w:t>
      </w:r>
    </w:p>
    <w:p>
      <w:r>
        <w:t>FR: GE_GERICHTE ATAS/1202/2019 du 20 décembre 2019</w:t>
      </w:r>
    </w:p>
    <w:p>
      <w:r>
        <w:t>IT: GE_GERICHTE ATAS/1202/2019 del 20 dicembre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la recourante se détermine dès lors selon les dispositions légales dans leur ancienne teneur pour la période jusqu'au 31 décembre 2010 et selon le nouveau droit pour les prestations dès cette date.</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5</w:t>
      </w:r>
    </w:p>
    <w:p>
      <w:r>
        <w:t>Le litige porte sur la question de savoir si c’est à juste titre que l’intimé a requis de la recourante la restitution des prestations complémentaires, tant dans son principe que dans la quotité, pour la période courant du 1er novembre 2010 au 31 octobre 2017. Il s’agit en particulier de déterminer le délai de péremption applicable et le montant de l’épargne à prendre en compte, les autres éléments retenus dans la décision querellée n’étant pas contestés par la recourante.</w:t>
      </w:r>
    </w:p>
    <w:p>
      <w:r>
        <w:t>A/2547/2019 - 6/15 -</w:t>
      </w:r>
    </w:p>
    <w:p>
      <w:r>
        <w:rPr>
          <w:b/>
        </w:rPr>
        <w:t>E. 6</w:t>
      </w:r>
    </w:p>
    <w:p>
      <w:r>
        <w:t>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7</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A/2547/2019 - 7/15 -</w:t>
      </w:r>
    </w:p>
    <w:p>
      <w:r>
        <w:rPr>
          <w:b/>
        </w:rPr>
        <w:t>E. 8</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ATF 133 V 579 consid. 4).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140 V 521 consid. 2.1).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Si la créance naît d'un acte punissable pour lequel le droit pénal prévoit un délai de prescription plus long, celui-ci est déterminant (art. 25 al. 2 2ème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Pour que le délai de péremption plus long prévu par le droit pénal s'applique, il n'est pas nécessaire que l'auteur de l'infraction ait été condamné (ATF 140 IV 206 consid. 6.2; ATF 118 V 193 consid. 4a). Dans un tel cas, les exigences constitutionnelles en matière d'appréciation des preuves en procédure pénale s'appliquent (ATF 138 V 74 consid. 7; arrêt du Tribunal fédéral 8C_592/2007 du</w:t>
      </w:r>
    </w:p>
    <w:p>
      <w:r>
        <w:rPr>
          <w:b/>
        </w:rPr>
        <w:t>E. 10</w:t>
      </w:r>
    </w:p>
    <w:p>
      <w:r>
        <w:t>Reste à déterminer si c’est à juste titre que l’intimé a pris en compte pour la période dès le 1er mars 2012 une épargne de CHF 93'954.75 à titre de biens dessaisis.</w:t>
      </w:r>
    </w:p>
    <w:p>
      <w:r>
        <w:rPr>
          <w:b/>
        </w:rPr>
        <w:t>E. 11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w:t>
      </w:r>
    </w:p>
    <w:p>
      <w:r>
        <w:t>A/2547/2019 - 11/15 - ressources et parts de fortune dont un ayant droit s’est dessaisi (art. 11 al. 1 let. g LPC). Ont droit aux prestations complémentaires cantonales les personnes dont le revenu annuel déterminant n’atteint pas le revenu minimum cantonal d’aide sociale applicable (art. 4 LPCC). Depuis le 1er janvier 2008, l'art. 5 LPCC prévoit que le revenu déterminant est calculé conformément aux règles fixées dans la loi fédérale et ses dispositions d'exécution, moyennant les adaptations listées sous lettres a) à c). Les dépenses reconnues sont celles énumérées par la LPC et ses dispositions d'exécution, à l'exclusion du montant destiné à la couverture des besoins vitaux, remplacé par le montant destiné à garantir le revenu minimum cantonal d'aide sociale défini à l'art. 3 LPCC.</w:t>
      </w:r>
    </w:p>
    <w:p>
      <w:r>
        <w:rPr>
          <w:b/>
        </w:rPr>
        <w:t>E. 12</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w:t>
      </w:r>
    </w:p>
    <w:p>
      <w:r>
        <w:t>A/2547/2019 - 12/15 -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arrêt du Tribunal fédéral des assurances P 65/04 du 29 août 2005 consid. 5.3.1).</w:t>
      </w:r>
    </w:p>
    <w:p>
      <w:r>
        <w:rPr>
          <w:b/>
        </w:rPr>
        <w:t>E. 13</w:t>
      </w:r>
    </w:p>
    <w:p>
      <w:r>
        <w:t>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L’amortissement ne devient donc effectif qu’à compter de la deuxième année qui suit le dessaisissement. En outre, en présence de dessaisissements successifs, ceux- ci sont additionnés, de sorte qu’il n’y a dès lors qu’un dessaisissement de fortune (Michel VALTERIO, Commentaire de la loi fédérale sur les prestations complémentaires à l’AVS et à l’AI, 2015, n. 120 ad art. 11 LPC).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w:t>
      </w:r>
    </w:p>
    <w:p>
      <w:r>
        <w:t>A/2547/2019 - 13/15 -</w:t>
      </w:r>
    </w:p>
    <w:p>
      <w:r>
        <w:rPr>
          <w:b/>
        </w:rPr>
        <w:t>E. 14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À titre d’exemple, le Tribunal fédéral des assurances (TFA) a estimé que c'était à tort que la juridiction cantonale avait admis l'existence d'un montant de CHF 50'000.-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 125 V 195 consid. 2 et les références; cf. ATF 130 III 324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w:t>
      </w:r>
    </w:p>
    <w:p>
      <w:r>
        <w:t>A/2547/2019 - 14/15 - l'absence de preuves (arrêt du Tribunal fédéral des assurances P 4/05 du 29 août 2005 consid. 5.3.3).</w:t>
      </w:r>
    </w:p>
    <w:p>
      <w:r>
        <w:rPr>
          <w:b/>
        </w:rPr>
        <w:t>E. 15</w:t>
      </w:r>
    </w:p>
    <w:p>
      <w:r>
        <w:t>a. En l’espèce, la recourante a reçu en mars 2012 un rétroactif de prestations complémentaires de CHF 26'504.- et son mari un rétroactif de prestations AI de CHF 74'144.20 (et non de CHF 68'858.-), soit un total de CHF 100'648.20. Contrairement à ce qu’indique la recourante dans sa réplique, son époux n’a pas obtenu la somme de CHF 68'858.- le 13 février 2012, ce montant se référant uniquement aux prestations AI pour la période de février 2009 à février 2012. Or, par décision du 7 mars 2012, l’OAI lui a reconnu un rétroactif de prestations de CHF 74'144.20, montant qui englobe également les prestations du mois de mars 2012 ainsi que les intérêts rémunératoires. b. La recourante allègue avoir dépensé entièrement les sommes rétroactives perçues pour pouvoir vivre. Elle a produit l’extrait de son compte bancaire relatif à la période du 1er janvier 2010 au 31 décembre 2017, qui démontre que, dans les mois suivant le virement du rétroactif de prestations complémentaires, à plusieurs reprises, des sommes variant entre CHF 200.- et EUR 3'000.- ont été retirées en espèces. Faute de pièces justificatives (quittances, factures par ex.), il n’est toutefois pas possible d’établir quelles dépenses le couple a effectuées avec les rétroactifs. La recourante doit en conséquence supporter les conséquences de l'absence de preuves. Partant, c’est à juste titre que l’intimé a considéré que le montant rétroactif reçu, allégué au titre des dépenses effectuées pour le propre usage du couple, doit être assimilé à un dessaisissement de fortune. c. L’intimé a retenu un montant de CHF 93'954.75 à titre de biens dessaisis pour la période du 1er mars 2012 au 31 octobre 2017. Si le dessaisissement de fortune s’élevait en réalité à CHF 100'648.20, comme on l’a vu plus haut, montant qui devait être reporté tel quel au 1er janvier 2013 (soit l'année suivant celle du dessaisissement), on constate en revanche que l’intimé n’a pas tenu compte dès le 1er janvier 2014 de la réduction annuelle de CHF 10'000.- conformément à l'art. 17a al. 1 OPC-AVS/AI, ce qui a une incidence sur le total du revenu déterminant. d. Il convient donc de renvoyer la cause à l’intimé pour qu’il effectue un nouveau calcul des prestations conformément au consid. 15c ci-dessus.</w:t>
      </w:r>
    </w:p>
    <w:p>
      <w:r>
        <w:rPr>
          <w:b/>
        </w:rPr>
        <w:t>E. 16</w:t>
      </w:r>
    </w:p>
    <w:p>
      <w:r>
        <w:t>Au vu de ce qui précède, le recours sera partiellement admis, la décision sur opposition du 31 mai 2019 annulée et la cause renvoyée à l'intimé pour nouvelle décision au sens des considérants.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800.-. Pour le surplus, la procédure est gratuite (art. 61 let. a LPGA).</w:t>
      </w:r>
    </w:p>
    <w:p>
      <w:r>
        <w:t>A/2547/2019 - 15/15 -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