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ATAS/1201/2018 vom 19. Dezember 2018</w:t>
      </w:r>
    </w:p>
    <w:p>
      <w:r>
        <w:t>GE Cour de justice, 2018-12-19, FR</w:t>
      </w:r>
    </w:p>
    <w:p>
      <w:r>
        <w:rPr>
          <w:b/>
        </w:rPr>
        <w:t xml:space="preserve">Quelle: </w:t>
      </w:r>
      <w:r>
        <w:t>https://mcp.opencaselaw.ch/entscheid/ge_gerichte_ATAS_1201_2018</w:t>
      </w:r>
    </w:p>
    <w:p>
      <w:r>
        <w:t>FR: GE_GERICHTE ATAS/1201/2018 du 19 décembre 2018</w:t>
      </w:r>
    </w:p>
    <w:p>
      <w:r>
        <w:t>IT: GE_GERICHTE ATAS/1201/2018 del 19 dicembre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w:t>
      </w:r>
    </w:p>
    <w:p>
      <w:r>
        <w:rPr>
          <w:b/>
        </w:rPr>
        <w:t>E. 3</w:t>
      </w:r>
    </w:p>
    <w:p>
      <w:r>
        <w:t>Interjeté dans les formes et délai prévus par la loi, le recours est recevable (art. 38 et 56 à 61 LPGA).</w:t>
      </w:r>
    </w:p>
    <w:p>
      <w:r>
        <w:t>A/1047/2017 - 7/20 -</w:t>
      </w:r>
    </w:p>
    <w:p>
      <w:r>
        <w:rPr>
          <w:b/>
        </w:rPr>
        <w:t>E. 4</w:t>
      </w:r>
    </w:p>
    <w:p>
      <w:r>
        <w:t>Le litige porte sur le droit de la caisse de réclamer à l'intéressé la réparation du dommage subi en raison du non-paiement des cotisations paritaires AVS/AI/AC/AMat, ainsi que des cotisations AF, dues par la société pour les années 2009 à 2013.</w:t>
      </w:r>
    </w:p>
    <w:p>
      <w:r>
        <w:rPr>
          <w:b/>
        </w:rPr>
        <w:t>E. 5</w:t>
      </w:r>
    </w:p>
    <w:p>
      <w:r>
        <w:t>L’intéressé a sollicité la jonction de la présente cause avec celle portant le n° A/1791/2016. Aux termes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La chambre de céans a déjà eu l’occasion de juger que lorsque les parties au litige ne sont pas les mêmes et que les périodes sur lesquelles portent le dommage ne le sont pas non plus, il n’y a pas lieu de procéder à la jonction des causes (ATAS/131/2004). En l’occurrence, la cause A/1791/2016 a été enregistrée lorsque l’intéressé a recouru contre la décision rendue par la FER CIAM le 10 décembre 2013 lui réclamant la réparation du dommage subi en raison du non-paiement des cotisations paritaires AVS/AI et les contributions AF dues par la société et restées impayées en février et mars, d’août à octobre 2008. Elle a fait l’objet d’un arrêt de la chambre de céans le 22 mai 2018 (ATAS/431/2018). Ni les caisses de compensation concernées, ni les périodes visées n’étant les mêmes, il ne se justifiait pas de joindre les deux causes.</w:t>
      </w:r>
    </w:p>
    <w:p>
      <w:r>
        <w:rPr>
          <w:b/>
        </w:rPr>
        <w:t>E. 6</w:t>
      </w:r>
    </w:p>
    <w:p>
      <w:r>
        <w:t>a. À teneur de l’art. 52 LAVS en vigueur dès le 1er janvier 2003 (introduit par le ch.</w:t>
      </w:r>
    </w:p>
    <w:p>
      <w:r>
        <w:rPr>
          <w:b/>
        </w:rPr>
        <w:t>E. 7</w:t>
      </w:r>
    </w:p>
    <w:p>
      <w:r>
        <w:t>À titre liminaire, il sied d’examiner la question de la prescription.</w:t>
      </w:r>
    </w:p>
    <w:p>
      <w:r>
        <w:t>A/1047/2017 - 8/20 -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w:t>
      </w:r>
    </w:p>
    <w:p>
      <w:r>
        <w:t>A/1047/2017 - 9/20 - procédure de réparation d'un dommage selon l'art. 52 LAVS, in RCC 1991, p. 405 s.). d.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e. L’intéressé fait valoir que le droit à réparation pour les années 2008 (recte 2009) à 2013 (au moins jusqu’au 6 octobre 2013) est prescrit. Il rappelle en effet que la caisse a déposé une plainte pénale contre lui le 14 septembre 2011, date à laquelle elle avait connaissance des arriérés pour les années 2008 à 2011. Elle avait ainsi jusqu’au 14 septembre 2013 pour demander réparation. Or, elle n’a agi que le 6 octobre 2015, de sorte que le droit de la caisse pour réclamer la réparation du dommage relatif aux années 2009 à 2011 est prescrit. Elle connaissait également, ou aurait dû immédiatement connaître, son dommage pour les années 2012 et 2013, au vu de la procédure pénale et de la situation de la société. En l’espèce toutefois, la faillite de la société a été prononcée le 3 juin 2013. L’état de collocation a été déposé le 14 octobre 2014. La caisse s’est vu délivrer le 13 février 2015 des actes de défaut de biens après faillite pour toutes les créances produites. Le délai de prescription de deux ans commençant à courir à partir du 14 octobre 2014, la caisse a agi en temps utile, soit dans les délais de deux ans et de cinq ans prévus à l’art. 52 al. 3 LAVS, puisqu’elle a notifié à l’intéressé une demande en réparation du dommage en date du 6 octobre 2015.</w:t>
      </w:r>
    </w:p>
    <w:p>
      <w:r>
        <w:rPr>
          <w:b/>
        </w:rPr>
        <w:t>E. 8</w:t>
      </w:r>
    </w:p>
    <w:p>
      <w:r>
        <w:t>Il convient de déterminer si l’intéressé peut être assimilé à un « employeur » tenu de verser les cotisations à la caisse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w:t>
      </w:r>
    </w:p>
    <w:p>
      <w:r>
        <w:t>A/1047/2017 - 10/20 -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arrêt du Tribunal fédéral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w:t>
      </w:r>
    </w:p>
    <w:p>
      <w:r>
        <w:t>A/1047/2017 - 11/20 -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 citées). d. En l’espèce, l’intéressé était inscrit au Registre du commerce en tant qu’administrateur vice-président, avec signature collective à deux, dès la création de la société. Il était, partant, indiscutablement, un organe de la société faillie, de sorte que sa responsabilité peut être engagée au sens de l’art. 52 LAVS.</w:t>
      </w:r>
    </w:p>
    <w:p>
      <w:r>
        <w:rPr>
          <w:b/>
        </w:rPr>
        <w:t>E. 9</w:t>
      </w:r>
    </w:p>
    <w:p>
      <w:r>
        <w:t>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w:t>
      </w:r>
    </w:p>
    <w:p>
      <w:r>
        <w:t>A/1047/2017 - 12/20 -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w:t>
      </w:r>
    </w:p>
    <w:p>
      <w:r>
        <w:t>A/1047/2017 - 13/20 -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w:t>
      </w:r>
    </w:p>
    <w:p>
      <w:r>
        <w:t>A/1047/2017 - 14/20 - facteurs qui ont contribué à l'amener, en particulier le comportement de l'auteur (arrêt du Tribunal fédéral des assurances H 95/05 du 10 janvier 2007 consid. 4).</w:t>
      </w:r>
    </w:p>
    <w:p>
      <w:r>
        <w:rPr>
          <w:b/>
        </w:rPr>
        <w:t>E. 10</w:t>
      </w:r>
    </w:p>
    <w:p>
      <w:r>
        <w:t>En l’espèce, l’intéressé conteste avoir commis une négligence grave. Il en veut pour preuve l’ordonnance de classement à lui notifiée par le Ministère Public le 27 février 2014. Il y a toutefois lieu de rappeler que les conditions de l’art. 87 al. 3 LAVS et celles de l’art. 52 LAVS sont différentes et ne sont pas liées. Il peut ainsi parfaitement se produire que l’administrateur soit acquitté du chef d’accusation de détournement de cotisations AVS, mais déclaré responsable au sens de l’art. 52 LAVS (cf. notamment arrêt du Tribunal fédéral des assurances H 234/2000). On ne saurait dès lors se fonder sur l’ordonnance du Ministère Public pour considérer que l’intéressé n’a pas à répondre du dommage causé à la caisse.</w:t>
      </w:r>
    </w:p>
    <w:p>
      <w:r>
        <w:rPr>
          <w:b/>
        </w:rPr>
        <w:t>E. 11</w:t>
      </w:r>
    </w:p>
    <w:p>
      <w:r>
        <w:t>a. Il est certes établi, au vu des témoignages récoltés au cours de l’instruction menée dans la cause n° A/1791/2016 que toutes les décisions relatives aux questions administratives et à la gestion de la société étaient prises par l’administrateur-président, que les contacts de la société avec les tiers passaient par lui, et que l’administrateur-président gérait seul la société. Il n’en reste pas moins que l’intéressé, en sa qualité d’administrateur inscrit au Registre du commerce, était tenu de se renseigner régulièrement sur la situation de la société. En effet, selon la jurisprudence, celui qui entre dans le conseil d'administration d'une société a le devoir d'exercer la haute surveillance sur les personnes chargées de la gestion de la société; il s'agit d'une prérogative intransmissible et inaliénable inhérente à la fonction d'administrateur d'une société (art. 716a al. 1 ch. 5 CO). C'est ainsi qu'il doit non seulement assister aux séances du conseil d'administration, mais a également l'obligation de se faire renseigner périodiquement sur la marche des affaires, ce qui inclut notamment la surveillance du paiement des cotisations paritaires; il est tenu en corollaire de prendre les mesures appropriées lorsqu'il a connaissance ou aurait dû avoir connaissance d'irrégularités commises dans la gestion de la société (ATF 114 V 219 consid. 4a et les références; voir également arrêt du Tribunal fédéral 9C_152/2009 du 18 novembre 2009 consid. 6.1 in SVR 2010 AHV n. 4 p. 11). À cet égard, il apparait que l’intéressé s’est inquiété auprès de son frère de temps à autre de la situation et avoir tenté d’obtenir des informations sur les comptes de la société et la marche des affaires. Les témoins F______, MM. G______ et H______, entendus dans le cadre de la procédure A/1791/2016, ont en effet affirmé qu’ils avaient eu l’occasion de voir l’intéressé poser des questions à l’administrateur- président, sans beaucoup de succès toutefois. Dans son arrêt du 22 mai 2018 opposant l’intéressé à la FER CIAM (ATAS/431/2018), la chambre de céans a également constaté qu’il était difficile, voire impossible, pour l’intéressé de prendre connaissance des dossiers comptables et administratifs de la société, par l’intermédiaire de son frère.</w:t>
      </w:r>
    </w:p>
    <w:p>
      <w:r>
        <w:t>A/1047/2017 - 15/20 - L’intéressé a cependant admis qu’il n’avait jamais demandé d’explications par écrit. La chambre de céans note que ce n’est que le 15 février 2011 qu’il a, par l’intermédiaire de son mandataire, interrogé formellement son frère. Force est de constater que cette démarche aurait dû être entreprise bien plus tôt, le dommage subi par la caisse concernant les cotisations 2009 déjà. Il appert des audiences d’enquêtes menées dans la cause A/1791/2016 qu’il ne s’est pas non plus adressé à la caisse, aux fiduciaires, ou à l’organe de révision. Invité par la chambre de céans à dire pourquoi, il a déclaré qu’il n’en avait pas eu l’idée. Il apparaît quoi qu’il en soit qu’il se souciait davantage du versement de son salaire, - son salaire ne lui était plus versé depuis fin juin 2007 -, et de ce qu’il allait advenir des sommes prêtées par ses amis, que du paiement des charges sociales dues par la société. Entendu par la chambre de céans, il a en effet notamment déclaré que « je me montrais préoccupé lors des assemblées générales du fait que je ne recevais pas de salaire. Je m’inquiétais également pour les personnes qui avaient prêté de l’argent ». L’intéressé a par ailleurs précisé que s’il avait souhaité voir les comptes bancaires, c’était parce qu’il voulait vérifier que l’argent des paiements encaissés par son frère en cash avait bien été versé à la banque, et non pour s’assurer que la société s’acquittait régulièrement de ses charges sociales. Un ami « prêteur » de l’intéressé a à cet égard déclaré que l’intéressé « m’a fait part de ses inquiétudes quant aux dettes sociales après qu’il ait quitté la société. Il ne me semble pas qu’il m’en ait parlé auparavant ». Lors de son audition le 27 janvier 2014 au Ministère public, l’intéressé a également déclaré que « je n’ai pas posé de question à mon frère s’agissant de savoir si les cotisations étaient acquittées par la société avant le courrier de la caisse qui faisait état des impayés ». Il ne saurait ainsi excuser le fait qu’il n’a rien entrepris de concret pour obtenir des renseignements sur l’administration de la société, singulièrement sur le paiement des cotisations sociales. Même si l’intéressé était confronté à un manque de coopération de la part de l’administrateur-président, il lui incombait en effet d’assumer les tâches prescrites par la loi, et ainsi, de veiller personnellement à ce que les cotisations paritaires fussent effectivement payées à la caisse, ce qu’il n’a pas fait. Il a donc manqué à ses devoirs, ce d’autant plus que l’attitude de son frère envers lui telle qu’il l’a décrite ne pouvait que lui faire craindre une gestion douteuse de la société. b. L’intéressé allègue avoir été écarté de la gestion de la société faillie et être resté impuissant face à son frère. Plusieurs témoins ont confirmé que l’administrateur-président « intentionnellement tentait d’exclure l’intéressé de la gestion de la société », ou encore que « chacun avait son domaine et l’intéressé n’avait pas de regard sur la partie gérée par l’administrateur-président ». M. G______ a à cet égard rapporté que l’administrateur-président avait dit à l’intéressé à propos des comptes que ceux-ci</w:t>
      </w:r>
    </w:p>
    <w:p>
      <w:r>
        <w:t>A/1047/2017 - 16/20 - ne le regardait pas. M. H______ a constaté que l’administrateur-président « exerçait manifestement un certain ascendant sur l’intéressé ». Il est vraisemblable, au degré requis par la jurisprudence, que l’administrateur- président taisait délibérément certaines informations à l’intéressé. Toutefois, si l’on peut admettre que son frère tentait bel et bien de l’écarter de la gestion de la société, l’intéressé aurait dû démissionner sans délai de ses fonctions, étant précisé que le fait de ne pas être en mesure d'exercer ses fonctions, parce que la société est dirigée en fait par d'autres personnes, soit l’administrateur-président en l’occurrence, ne constitue pas un motif de suppression de la faute commise (arrêt du Tribunal fédéral 9C_722/2015 du 31 mai 2016 consid. 3.3). c. L’intéressé se défend d’avoir été homme de paille, expliquant qu’il était resté inscrit au Registre du commerce pour préserver les droits des amis qui avaient prêté de l’argent. Il résulte pourtant de ce qui précède qu’il a occupé une situation comparable à celle d’un homme de paille ; il conservait en effet un mandat d’administrateur tout en sachant qu’il ne le remplissait pas consciencieusement. C’est précisément en cela que réside sa faute. En n'exerçant aucune surveillance pour s’assurer au moins que l’administrateur-président observait la loi et les règlements, l’intéressé a violé son obligation de diligence sur une période relativement longue.</w:t>
      </w:r>
    </w:p>
    <w:p>
      <w:r>
        <w:rPr>
          <w:b/>
        </w:rPr>
        <w:t>E. 12</w:t>
      </w:r>
    </w:p>
    <w:p>
      <w:r>
        <w:t>Commet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En l’occurrence, l’intéressé a cessé de travailler pour la société dès le 14 janvier 2009, mais en est resté administrateur jusqu’en 2013. Il explique qu’il n’a pas voulu démissionner, parce qu’il gardait l’espoir de pouvoir avoir accès aux comptes et aux documents comptables. Il voulait essayer de faire pression sur son frère pour qu’il rende des comptes à ses amis qui avaient prêté de l’argent à la société. L’administratrice-secrétaire, quant à elle, a démissionné en novembre 2011. Elle a révélé que, consciente de ses obligations en tant qu’administratrice, elle avait eu peur. Elle en avait informé l’intéressé en lui conseillant d’en faire autant, mais il ne l’avait pas écoutée, disant qu’il se sentait impliqué et qu’il voulait conserver un droit de regard sur la société. MM. G______ et H______ ont confirmé que l’intéressé restait au conseil d’administration pour garder le contact et savoir ce qui se faisait concrètement dans les locaux, le second ajoutant que selon l’intéressé, « il ne pouvait pas quitter ses fonctions d’administrateur aussi facilement que cela. C’était une question de difficulté administrative pour lui et qu’il restait en partie pour moi pour qu’il y ait quelqu’un qui reste dans la société pour enlever ma garantie ». On peine à cet égard à comprendre pour quelles raisons l’intéressé n’a pas démissionné comme le lui conseillait l’épouse de l’administrateur-président, pour</w:t>
      </w:r>
    </w:p>
    <w:p>
      <w:r>
        <w:t>A/1047/2017 - 17/20 - quelles raisons il pensait qu’il réussirait à prendre connaissance des pièces comptables et des comptes bancaires de la société, alors que les quelques démarches tentées jusque-là avaient échoué et pour quelles raisons enfin, il pensait pouvoir faire pression sur son frère alors que celui-ci le prenait de haut, lui disant notamment qu’ils couraient tous deux dans des courses de niveaux très différents. Force est au surplus de constater, une fois encore, que ce n’est pas la question du paiement des charges sociales qui inquiétait l’intéressé, mais de ce qu’il adviendrait de l’argent prêté par ses amis. Au vu de ce qui précède, l’intéressé a commis une négligence grave au sens de l'art. 52 LAVS, en ne démissionnant pas alors qu’il ne pouvait manquer de comprendre qu’il se heurtait pour le moins à de sérieux obstacles pour assumer ses obligations d’administrateur.</w:t>
      </w:r>
    </w:p>
    <w:p>
      <w:r>
        <w:rPr>
          <w:b/>
        </w:rPr>
        <w:t>E. 13</w:t>
      </w:r>
    </w:p>
    <w:p>
      <w:r>
        <w:t>a. La responsabilité de l'employeur au sens de l'art. 52 LAVS suppose enfin un rapport de causalité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Tribunal fédéral H.96/03 du 30 novembre 2004 consid. 7.3.1 in SJ 2005 I; ATF 132 III 523).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(ATAS 120/2016 consid. 8 et les références citées).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H.95/05 du 10 janvier 2007 consid. 4).</w:t>
      </w:r>
    </w:p>
    <w:p>
      <w:r>
        <w:t>A/1047/2017 - 18/20 - Selon la jurisprudence, pour déterminer si la relation de causalité entre l'acte de l'auteur et le résultat dommageable est adéquate, il y a lieu de se demander non pas si le fait imputé à l'auteur aurait éventuellement pu causer à lui seul le résultat, mais si les autres circonstances qui ont concouru à la réalisation du résultat ne présentent pas, par rapport au fait de l'auteur, un caractère trop exceptionnel. Ce n'est donc que s'il est hautement improbable, d'après le cours ordinaire des choses et l'expérience de la vie, que le second événement qui a concouru à la survenance du résultat se produise par suite de l'acte de l'auteur et de ses conséquences, que le rapport de causalité adéquate pourrait être nié (cf. arrêt G. du 30 mai 2001, 4C.6/2001). b. L’intéressé estime que la caisse a commis une faute concomitante en attendant que la faillite soit prononcée en 2013 pour notifier sa décision en réparation en octobre 2015 s’agissant de cotisations dues depuis 2009. Le fait de ne pas l’avoir sollicité personnellement dès les premiers retards a permis de rendre ses cotisations irrécouvrables plusieurs années plus tard, mais l’a surtout empêché d’être conscient de l’arriéré réclamé. c. Il apparaît pourtant que la caisse a régulièrement déposé des poursuites à l’encontre de la société, de sorte qu’aucune faute concomitante ne saurait lui être reprochée. Il suffisait à l’intéressé de se renseigner auprès d’elle ou de contacter l’Office des poursuites pour se rendre compte que les cotisations n’étaient pas payées. En outre, lorsque l'employeur est une personne morale, comme c’est le cas en l’occurrence, la responsabilité ne s'étend aux organes qui ont agi en son nom, qu’à titre subsidiaire. Aussi la caisse a-t-elle agi conformément au droit en ne s’adressant qu’à la société, jusqu’à ce que la faillite soit prononcée. Elle n’avait pas à l’avertir des arriérés de cotisations dus ou des devoirs découlant de sa fonction d’administrateur (9C_839/2016). L’intéressé fait valoir qu’il n’a su, pour la première fois, que des cotisations sociales étaient restées impayées pour l’année 2009, que lorsque la caisse s’était directement adressée à lui en lui notifiant sa décision en réparation du dommage du 6 octobre 2015. Il y a toutefois lieu de rappeler que la caisse l’avait bien avant dénoncé auprès du Ministère public s’agissant de l’arriéré des cotisations 2009 le</w:t>
      </w:r>
    </w:p>
    <w:p>
      <w:r>
        <w:rPr>
          <w:b/>
        </w:rPr>
        <w:t>E. 14</w:t>
      </w:r>
    </w:p>
    <w:p>
      <w:r>
        <w:t>Aussi le recours doit-il être rejeté.</w:t>
      </w:r>
    </w:p>
    <w:p>
      <w:r>
        <w:t>A/1047/2017 - 20/20 -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