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ATAS/1201/2010 vom 24. November 2010</w:t>
      </w:r>
    </w:p>
    <w:p>
      <w:r>
        <w:t>GE Cour de justice, 2010-11-24, FR</w:t>
      </w:r>
    </w:p>
    <w:p>
      <w:r>
        <w:rPr>
          <w:b/>
        </w:rPr>
        <w:t xml:space="preserve">Quelle: </w:t>
      </w:r>
      <w:r>
        <w:t>https://mcp.opencaselaw.ch/entscheid/ge_gerichte_ATAS_1201_2010</w:t>
      </w:r>
    </w:p>
    <w:p>
      <w:r>
        <w:t>FR: GE_GERICHTE ATAS/1201/2010 du 24 novembre 2010</w:t>
      </w:r>
    </w:p>
    <w:p>
      <w:r>
        <w:t>IT: GE_GERICHTE ATAS/1201/2010 del 24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forme et délai prévus par la loi, le présent recours est recevable (art. 56 à 61 LPGA et 38 al. 4 let. b LPGA p.a.).</w:t>
      </w:r>
    </w:p>
    <w:p>
      <w:r>
        <w:rPr>
          <w:b/>
        </w:rPr>
        <w:t>E. 3</w:t>
      </w:r>
    </w:p>
    <w:p>
      <w:r>
        <w:t>Le litige porte sur le point de savoir si c’est à juste titre que l’intimé a nié à la recourante le droit à une rente d’invalidité et à une mesure de reclassement professionnel.</w:t>
      </w:r>
    </w:p>
    <w:p>
      <w:r>
        <w:rPr>
          <w:b/>
        </w:rPr>
        <w:t>E. 4</w:t>
      </w:r>
    </w:p>
    <w:p>
      <w:r>
        <w:t>a) L’art. 28 al. 2 LAI dispose que l’assuré a droit à une rente entière s’il est invalide à 70% au moins, à trois quarts de rente s’il est invalide à 60% au moins, à une demi-rente s’il est invalide à 50% au moins ou à un quart de rente s’il est invalide à 40% au moins.</w:t>
      </w:r>
    </w:p>
    <w:p>
      <w:r>
        <w:t>A/2745/2010 - 7/15 - b)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En vertu de l’art. 29 al. 1 LAI, le droit à la rente prend naissance au plus tôt à l’échéance d’une période de six mois à compter de la date à laquelle l’assuré a fait valoir son droit aux prestations conformément à l’art. 29 al. 1er LPGA, mais pas avant le mois qui suit le dix-huitième anniversaire de l’assuré.</w:t>
      </w:r>
    </w:p>
    <w:p>
      <w:r>
        <w:rPr>
          <w:b/>
        </w:rPr>
        <w:t>E. 5</w:t>
      </w:r>
    </w:p>
    <w:p>
      <w:r>
        <w:t>D’après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w:t>
      </w:r>
    </w:p>
    <w:p>
      <w:r>
        <w:t>A/2745/2010 - 8/15 - rapport ou comme expertise, mais bel et bien son contenu (ATF 125 V 351 consid. 3a, 122 V 157 consid. 1c et les références ; ATF non publié du 23 juin 2008, 9C_773/2007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w:t>
      </w:r>
    </w:p>
    <w:p>
      <w:r>
        <w:t>A/2745/2010 - 9/15 - l’incapacité de travail par le médecin de famille (ATF 125 V 351 consid. 3b/cc et les références ; RJJ 1995, p. 44 ; RCC 1988 p. 504 consid. 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l’occurrence, l’intimé a estimé que la recourante présentait une incapacité de travail totale dans toute activité du 19 février 2008 au 21 septembre 2009, date à laquelle sa capacité de travail était à nouveau entière dans une activité adaptée à ses limitations fonctionnelles. Pour arriver à cette conclusion, il s’est essentiellement basé sur le rapport du 14 décembre 2009 du Dr O_____________, médecin d’arrondissement de l’assureur- accidents. Celui-ci a considéré que la capacité de travail de la recourante était entière dans toute activité lucrative n’exigeant pas de manutentions répétées de la main gauche et de ports de charges supérieures à 10kg, estimation qui prenait en considération tant l’atteinte du coude gauche que celle du nerf médian gauche. Il a notamment constaté une amélioration par rapport au status décrit le 6 novembre 2008 par le Dr L_____________ avec notamment une légère amélioration de la force de préhension et une récupération de la flexion du coude. En revanche, l’hypoesthésie dans le territoire du nerf médian semblait être apparue depuis cet examen. Aucune amélioration grâce à la poursuite d’un traitement n’était attendue. Le Tribunal de céans constate que ce rapport d'un spécialiste en chirurgie orthopédique se base sur un examen de la recourante, sur ses plaintes, son dossier médical et une courte anamnèse. Les atteintes somatiques et diagnostics ont également été exposés. Quant à l’appréciation du cas et aux conclusions, il est vrai qu’elles sont sommairement motivées, toutefois, elles se fondent notamment sur la comparaison des examens du mois de décembre 2009 et de ceux effectués au mois de novembre 2008 par le Dr L_____________, également médecin d’arrondissement de l’assureur-accidents. On comprend que la capacité de travail s’est améliorée en raison d’une amélioration objective des résultats des examens et que les limitations fonctionnelles touchant au membre supérieur gauche ne sont pas à même de réduire la capacité de travail de la recourante, qui est droitière.</w:t>
      </w:r>
    </w:p>
    <w:p>
      <w:r>
        <w:t>A/2745/2010 - 10/15 - Ce rapport est confirmé par ceux du Dr M_____________, spécialiste en chirurgie de la main, notamment par son rapport du mois de janvier 2010, dans lequel il a estimé que la capacité de travail de la recourante était entière dans une activité adaptée et que son état de santé était resté stationnaire depuis le 21 septembre 2009, date à laquelle elle avait subi une ponction et une infiltration d’un kyste à l’annuaire gauche. Quant aux divers rapports et certificats médicaux du Dr N_____________, ils ne sauraient remettre en cause les rapports de ces médecins, attendu d’une part, qu’il retient les mêmes atteintes et limitations fonctionnelles que ceux-ci et, d’autre part, que ce médecin est généraliste et médecin traitant de la recourante, lequel est susceptible, d’après la jurisprudence, de prendre parti pour son patient en raison du rapport de confiance l’unissant à ce dernier. Partant, le Tribunal de céans considère que le rapport du Dr O_____________ présente pleine valeur probante au sens de la jurisprudence et que son rapport, ainsi que ceux du Dr M_____________ permettent de retenir que la capacité de travail de la recourante est nulle dans toute activité lucrative dès le 19 février 2008, date du début de son arrêt de travail de longue durée, mais entière dans une activité lucrative adaptée à ses limitations fonctionnelles, dès le 21 septembre 2009, date à laquelle le Dr M_____________ a déterminé que l’état de santé de la recourante n’avait plus évolué.</w:t>
      </w:r>
    </w:p>
    <w:p>
      <w:r>
        <w:rPr>
          <w:b/>
        </w:rPr>
        <w:t>E. 8</w:t>
      </w:r>
    </w:p>
    <w:p>
      <w:r>
        <w:t>Bien que la recourante ait été incapable de travailler pendant plus d'une année jusqu'en septembre 2009, elle ne peut pas bénéficier d'une rente d'invalidité, dès lors que le droit à la rente ne peut naître au plus tôt que six mois après le dépôt de la demande, soit en l'occurrence en octobre 2009. Or, à cette date, il y a lieu d'admettre qu'elle avait déjà recouvré une capacité de travail entière dans une activité adaptée. Toutefois, dans la mesure où elle ne peut plus exercer les activités dans lesquelles elle avait travaillé auparavant et qu'elle doit donc changer de profession, il sied de déterminer si elle subit une invalidité de ce fait.</w:t>
      </w:r>
    </w:p>
    <w:p>
      <w:r>
        <w:rPr>
          <w:b/>
        </w:rPr>
        <w:t>E. 9</w:t>
      </w:r>
    </w:p>
    <w:p>
      <w:r>
        <w:t>a)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w:t>
      </w:r>
    </w:p>
    <w:p>
      <w:r>
        <w:t>A/2745/2010 - 11/15 - rente, survenues jusqu’au moment où la décision est rendue (c’est-à-dire entre le projet de décision et la décision elle-même), doivent être prises en compte (cf. ATF 129 V 222 consid. 4.1, 128 V 174). c)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d)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10</w:t>
      </w:r>
    </w:p>
    <w:p>
      <w:r>
        <w:t>a) En l’occurrence, le droit éventuel à la rente ne pourrait s’ouvrir qu'à partir du 1er octobre 2009, soit six mois après le dépôt de la demande. Il sied ainsi de se placer en 2009 pour procéder à la comparaison des revenus. b) Le revenu sans invalidité doit être déterminé sur la base des données des deux derniers employeurs de la recourante, dans la mesure où elle travaillait tant pour Y_____________ SA que pour - X_____________ SA lorsque son incapacité de travail durable a débuté en février 2008. Le premier a indiqué que son horaire de travail était de 43 heures par semaine et qu’en 2009, son revenu horaire aurait été de 19 fr. 35, complété de 8,33% pour les vacances et d’un 13ème salaire. Ce 13ème salaire a été fixé par l’employeur conformément à l’art. 6 de la Convention collective de travail du secteur du nettoyage pour le canton de Genève (cf. décompte de salaires). En 2009, qui aurait été la 3ème année de service de la recourante, le 13ème salaire serait de 50%. Compte tenu de ces éléments, son salaire</w:t>
      </w:r>
    </w:p>
    <w:p>
      <w:r>
        <w:t>A/2745/2010 - 12/15 - annuel 2009 est de 43'265 fr. 30 ([19,35 + (8,33% x 19,35)] x 43 heures x 48 semaines), complété d’un 13ème salaire de 1'802 fr. 35 (50% x [43'265,30/12]), soit un salaire global 2009 de 45'068 francs. Pour ce qui est de son second employeur, celui-ci a déclaré que la recourante travaillait 6,75 heures et que son salaire horaire 2009 serait de 18 fr. 25, complété par 8,33% d’indemnités de vacances. Ainsi, son revenu 2009 auprès de cet employeur s’élève à 6'405 fr. 55 ([18,25 + (8,33% x 18,25)] x 6,75 heures x 48 semaines). Par conséquent, en additionnant les revenus que la recourante aurait perçus chez chacun de ses deux employeurs en 2009, son revenu sans invalidité s’élève à 51'473 fr. 55. b) Pour ce qui est de son revenu d’invalide, il doit être établi en se fondant sur l’Enquête suisse sur la structure des salaires (ESS 2008), dans la mesure où la recourante n’a pas repris d’activité lucrative. Eu égard à l’activité de substitution dans une activité sans efforts au niveau du membre supérieur gauche, le salaire de référence est celui auquel peuvent prétendre les femmes effectuant des activités simples et répétitives dans le secteur privé (ESS 2008, TA1, femmes, niveau de qualification 4), soit 49'392 fr. (12 x 4'116), part au 13ème salaire comprise. Adapté à l’indice suisse des salaires nominaux (en 2008 : 2499, en 2009 : 2552) et à la durée de travail en 2009, laquelle est de 41.7 heures, ce revenu s’élève à 52'583 fr. 20 (cf. site internet de l’Office fédéral de la statistique). Enfin, il y a lieu d’examiner s’il doit être tenu compte d’un abattement. Attendu que la recourante présente des limitations fonctionnelles concernant les manutentions répétées de la main gauche et le port de charges supérieures à 10kg, il n’y a pas lieu de s’écarter de l’abattement de 15% retenu par l’intimé. Partant, le revenu d’invalide est de 44'695 fr. 70. c) Ainsi, le degré d’invalidité de la recourante s'établit à 13%, taux ne lui ouvrant pas de droit à une rente d’invalidité.</w:t>
      </w:r>
    </w:p>
    <w:p>
      <w:r>
        <w:rPr>
          <w:b/>
        </w:rPr>
        <w:t>E. 11</w:t>
      </w:r>
    </w:p>
    <w:p>
      <w:r>
        <w:t>Il convient encore d'examiner si la recourante peut être prétendre à une mesure d’ordre professionnel. a) À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l’art. 8 al. 1bis LAI,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des mesures d’ordre professionnel (orientation professionnelle, formation professionnelle initiale, reclassement, placement, aide en capital).</w:t>
      </w:r>
    </w:p>
    <w:p>
      <w:r>
        <w:t>A/2745/2010 - 13/15 - b) Selon l’art. 17 LAI, l’assuré a droit au reclassement dans une nouvelle profession si son invalidité rend cette mesure nécessaire et que sa capacité de gain peut ainsi, selon toute vraisemblance, être maintenue ou améliorée (al. 1er). D’après l’art. 15 LAI, l’assuré auquel son invalidité rend difficile le choix d’une profession ou l’exercice de son activité antérieure a droit à l’orientation professionnelle.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Par ailleurs,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d’ordre professionnel, CMRP, p. 16, no 2001 et 2002). Dans un récent arrêt no 9C_882/2008 du 19 octobre 2009, le Tribunal fédéral a rappelé que l'orientation professionnelle se démarque des autres mesures d'ordre professionnel (art. 16 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I 154/76 du 22 novembre 1976 consid. 2, in RCC 1977 p. 206; Meyer-Blaser, Rechtsprechung des Bundesgerichts zum IVG, ad Art. 15 IVG). Point n'est en principe besoin de présenter une perte de gain pour bénéficier d'une telle mesure (Arrêt du Tribunal fédéral 9C_385/2009 du 13 octobre 2009).</w:t>
      </w:r>
    </w:p>
    <w:p>
      <w:r>
        <w:t>A/2745/2010 - 14/15 -</w:t>
      </w:r>
    </w:p>
    <w:p>
      <w:r>
        <w:rPr>
          <w:b/>
        </w:rPr>
        <w:t>E. 12</w:t>
      </w:r>
    </w:p>
    <w:p>
      <w:r>
        <w:t>a) En l’espèce, il a été établi que le degré d’invalidité de la recourante était de 13%. Elle ne peut ainsi pas prétendre à une mesure de reclassement professionnel, attendu qu’une telle mesure requiert un degré d’invalidité d’au moins 20%. b) En revanche, elle n’est plus capable d’exercer ses activités précédentes, soit celles d’employée d’entretien ou encore d’employée agricole, eu égard à ses atteintes du membre supérieur gauche, atteintes lui réduisant le choix d’une activité professionnelle. De plus, compte tenu de ses limitations fonctionnelles au bras gauche, de son absence de formation et de ses connaissances de la langue française apparemment limitées, il semble difficile pour la recourante de déterminer seule les aptitudes exigées par certaines professions ou les possibilités disponibles sur le marché du travail. L’intimé n'a pas non plus indiqué quelles activités professionnelles concrètes elle pourrait encore exercer, alors même que l'administration a l'obligation de le faire (ATF 107 V 20 consid. 2b = RCC 1982 p. 34; circulaire sur l’invalidité et l’impotence dans l’assurance-invalidité - CIIAI, no 3048). Par ailleurs, il résulte du dossier que la recourante est motivée pour débuter une activité lucrative. En effet, elle avait déjà sollicité, dans sa demande de prestations, une mesure de réadaptation professionnelle. Elle a également participé, durant les mois de mai et/ou juin 2009, à une mesure chez HESTIA. Certes, cette mesure avait été un échec. Cependant, elle ne semble pas avoir été adaptée aux facultés de la recourante, dès lors qu'elle présupposait de bonnes connaissances en français et une familiarisation avec l'informatique. Enfin, la recourante a encore sollicité, par courrier du 13 août 2010, une mesure de réadaptation professionnelle, compte tenu de son incapacité à utiliser son membre supérieur gauche. La recourante remplit dès lors les conditions légales pour l’octroi d’une mesure d’orientation professionnelle, laquelle lui permettra d’établir un bilan de compétence et d’apprendre à cibler les activités réalisables. A l’issue de cette mesure, elle pourra déterminer les activités lui restant ouvertes. Partant, le recours sera partiellement admis et la recourante mise au bénéfice d’une mesure d’orientation professionnelle.</w:t>
      </w:r>
    </w:p>
    <w:p>
      <w:r>
        <w:rPr>
          <w:b/>
        </w:rPr>
        <w:t>E. 13</w:t>
      </w:r>
    </w:p>
    <w:p>
      <w:r>
        <w:t>Au vu de l'issue du recours, l’émolument de justice, fixé à 200 fr., est mis à la charge de l'intimé (art. 69 al. 1bis LAI).</w:t>
      </w:r>
    </w:p>
    <w:p>
      <w:r>
        <w:t>A/2745/2010 - 15/15 -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