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ATAS/1200/2021 vom 24. November 2021</w:t>
      </w:r>
    </w:p>
    <w:p>
      <w:r>
        <w:t>GE Cour de justice, 2021-11-24, FR</w:t>
      </w:r>
    </w:p>
    <w:p>
      <w:r>
        <w:rPr>
          <w:b/>
        </w:rPr>
        <w:t xml:space="preserve">Quelle: </w:t>
      </w:r>
      <w:r>
        <w:t>https://mcp.opencaselaw.ch/entscheid/ge_gerichte_ATAS_1200_2021</w:t>
      </w:r>
    </w:p>
    <w:p>
      <w:r>
        <w:t>FR: GE_GERICHTE ATAS/1200/2021 du 24 novembre 2021</w:t>
      </w:r>
    </w:p>
    <w:p>
      <w:r>
        <w:t>IT: GE_GERICHTE ATAS/1200/2021 del 24 novembre 2021</w:t>
      </w:r>
    </w:p>
    <w:p>
      <w:pPr>
        <w:pStyle w:val="Heading2"/>
      </w:pPr>
      <w:r>
        <w:t>Erwägungen</w:t>
      </w:r>
    </w:p>
    <w:p>
      <w:r>
        <w:rPr>
          <w:b/>
        </w:rPr>
        <w:t>E. 15</w:t>
      </w:r>
    </w:p>
    <w:p>
      <w:r>
        <w:t>Le 30 septembre 2020, le recourant a indiqué qu’il partageait l’avis de la chambre des assurances sociales sur le fait qu’il n’y avait pas lieu de considérer son écriture du 17 septembre 2020 comme un nouveau recours et que dès lors la procédure pendante contre la décision de l’OAI du 27 mars 2020 pouvait continuer en considérant que son écriture portait bien sur la décision de l’OAI du 4 juin 2020.</w:t>
      </w:r>
    </w:p>
    <w:p>
      <w:r>
        <w:rPr>
          <w:b/>
        </w:rPr>
        <w:t>E. 16</w:t>
      </w:r>
    </w:p>
    <w:p>
      <w:r>
        <w:t>Le 14 octobre 2020, l’intimé s’en est rapporté à justice sur l’opportunité d’ouvrir une nouvelle procédure. Il ne ressortait pas des griefs du conseil du recourant d’éléments concrets susceptibles de remettre en cause ses conclusions. Il se référait à un avis du SMR du 13 octobre 2020 joint à ses écritures et précisait que la décision litigieuse avait été rendue le 4 juin 2020 et que c’était la situation médicale antérieure à cette date qui était déterminante pour juger de la présente cause.</w:t>
      </w:r>
    </w:p>
    <w:p>
      <w:r>
        <w:rPr>
          <w:b/>
        </w:rPr>
        <w:t>E. 17</w:t>
      </w:r>
    </w:p>
    <w:p>
      <w:r>
        <w:t>Par ordonnance du 26 mai 2021 (ATAS/504/2021), la chambre de céans a ordonné une expertise psychiatrique de l’assuré qu’elle a confiée au docteur C______, FMH en psychiatrie et psychothérapie, considérant que la décision querellée était fondée sur un avis du SMR qui n’était pas probant.</w:t>
      </w:r>
    </w:p>
    <w:p>
      <w:r>
        <w:rPr>
          <w:b/>
        </w:rPr>
        <w:t>E. 18</w:t>
      </w:r>
    </w:p>
    <w:p>
      <w:r>
        <w:t>L’expert a conclu dans son rapport du 6 octobre 2021 que l’assuré souffrait d’un trouble panique (F41.0), présent probablement depuis plusieurs années, peut-être depuis la survenue du premier accident coronarien en 2010, voire avant, avec une aggravation en 2016. Le trouble était documenté depuis novembre 2019 par la Dresse B______. L’assuré souffrait également d’une dysthymie (F34.1) sans répercussion sur la capacité travail, présente depuis plusieurs années et documentée depuis 2016. L’expert a examiné les indicateurs développés par le Tribunal fédéral permettant de déterminer si l’atteinte était incapacitante. Il a conclu que le</w:t>
      </w:r>
    </w:p>
    <w:p>
      <w:r>
        <w:t>A/1512/2020 - 4/6 - recourant était totalement incapable de travailler depuis novembre 2019 dans toute activité. Une réévaluation était proposée dans un an environ.</w:t>
      </w:r>
    </w:p>
    <w:p>
      <w:r>
        <w:rPr>
          <w:b/>
        </w:rPr>
        <w:t>E. 19</w:t>
      </w:r>
    </w:p>
    <w:p>
      <w:r>
        <w:t>L’intimé a estimé l’expertise judiciaire convaincante et a modifié en conséquence ses conclusions dans le sens que le recourant devait se voir octroyer une rente entière d’invalidité (taux de 100%) dès le mois de novembre 2020.</w:t>
      </w:r>
    </w:p>
    <w:p>
      <w:r>
        <w:rPr>
          <w:b/>
        </w:rPr>
        <w:t>E. 20</w:t>
      </w:r>
    </w:p>
    <w:p>
      <w:r>
        <w:t>Le 9 novembre 2021, le recourant a fait valoir qu’il avait droit à une rente entière dès 2017, subsidiairement dès novembre 2019, car l’expert estimait que son trouble panique existait déjà dès 2016 et qu’il était totalement incapable de travailler dès le mois de novembre 2019.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3. Seule reste litigieuse en l’espèce, la date à partir de laquelle le recourant a droit à une rente entière d’invalidité. 4.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En l’espèce, les parties ont toutes deux reconnu une pleine valeur probante à l’expertise judiciaire. L’expert a fixé le début de l’incapacité durable à novembre 2019, selon les données disponibles (anamnèse et dossier), précisant que la situation actuelle était documentée depuis novembre 2019, référence faite au rapport de la Dresse B______ du 7 novembre 2019, qui mentionnait pour la première fois l’importance de la composante anxieuse (attaques de panique), même s’il ne retenait pas formellement le diagnostic de trouble panique. Entre octobre 2016 (début du traitement chez la Dresse B______ et novembre 2019), l’appréciation de</w:t>
      </w:r>
    </w:p>
    <w:p>
      <w:r>
        <w:t>A/1512/2020 - 5/6 - l’incapacité de travail avait fluctué entre 50 et 100%. Toutefois, les documents disponibles sur l’état psychique (rapports de la Dresse B______ et expertise du Dr E______) ne permettaient pas d’établir la part strictement psychiatrique de l’incapacité de travail, faute de reconnaissance du rôle de la pathologie anxieuse. Le trouble dépressif léger mentionné par les deux médecins précités ne pouvait justifier la capacité de travail durable de 50%, voire 100% comme l’avaient estimé ces médecins. S’il était vraisemblable que le trouble panique était déjà présent à cette époque, cela n’était pas documenté. Pour ce qui était de la dysthymie, elle n’était pas durablement incapacitante, mais pouvait aggraver momentanément les limitations fonctionnelles d’origine anxieuse dans les moments où la baisse de l’humeur était plus prononcée. En conclusion, l’expert estimait que la capacité de travail était nulle dans toute activité dès novembre 2019. Vu les conclusions claires et bien motivées de l’expert sur le début de la capacité travail durable, il n’y a pas lieu de s’éloigner de cette date, qu’aucun rapport médical au dossier ne remet sérieusement en cause. Il en résulte que le droit du recourant à une rente entière a pris naissance une année après novembre 2019, selon l’art. 28 al. 1 let. b et c LAI, soit dès le 1er novembre 2020, étant précisé qu’à cette date, le recourant avait déposé sa demande de prestations depuis plus de six mois (le 17 juin 2019) (art. 29 al. 1 et 3 LAI). 6. 6.1. Au vu de ce qui précède, le recours sera partiellement admis, la décision du 27 mars 2020 annulée et il sera dit que le recourant a droit à une rente entière d’invalidité dès le 1er novembre 2020. 6.2. Le recourant obtenant gain de cause et étant assisté d’un conseil une indemnité de CHF 2'000.- lui sera accordée à titre de participation à ses frais et dépens (art. 61 let. g LPGA; art. 6 du règlement sur les frais, émoluments et indemnités en matière administrative du 30 juillet 1986 [RFPA - E 5 10.03]). 6.3. Au vu du sort du recours, il y a lieu de condamner l'intimé au paiement d'un émolument de CHF 200.- (art. 69 al. 1bis LAI).</w:t>
      </w:r>
    </w:p>
    <w:p>
      <w:r>
        <w:t>6.4. 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w:t>
      </w:r>
    </w:p>
    <w:p>
      <w:r>
        <w:t>En l’occurrence, une expertise judiciaire a été nécessaire, du fait que la décision querellée était fondée sur un avis du SMR non probant. Il se justifie en conséquence de mettre les frais de celle-ci à la charge de l’intimé.</w:t>
      </w:r>
    </w:p>
    <w:p>
      <w:r>
        <w:t>A/1512/2020 - 6/6 -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