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ATAS/1200/2012 vom 2. Oktober 2012</w:t>
      </w:r>
    </w:p>
    <w:p>
      <w:r>
        <w:t>GE Cour de justice, 2012-10-02, FR</w:t>
      </w:r>
    </w:p>
    <w:p>
      <w:r>
        <w:rPr>
          <w:b/>
        </w:rPr>
        <w:t xml:space="preserve">Quelle: </w:t>
      </w:r>
      <w:r>
        <w:t>https://mcp.opencaselaw.ch/entscheid/ge_gerichte_ATAS_1200_2012</w:t>
      </w:r>
    </w:p>
    <w:p>
      <w:r>
        <w:t>FR: GE_GERICHTE ATAS/1200/2012 du 2 octobre 2012</w:t>
      </w:r>
    </w:p>
    <w:p>
      <w:r>
        <w:t>IT: GE_GERICHTE ATAS/1200/2012 del 2 ottobre 2012</w:t>
      </w:r>
    </w:p>
    <w:p>
      <w:pPr>
        <w:pStyle w:val="Heading2"/>
      </w:pPr>
      <w:r>
        <w:t>Erwägungen</w:t>
      </w:r>
    </w:p>
    <w:p>
      <w:r>
        <w:rPr>
          <w:b/>
        </w:rPr>
        <w:t>E. 1</w:t>
      </w:r>
    </w:p>
    <w:p>
      <w:r>
        <w:t>Déclare le recours recevable. Au fond :</w:t>
      </w:r>
    </w:p>
    <w:p>
      <w:r>
        <w:rPr>
          <w:b/>
        </w:rPr>
        <w:t>E. 2</w:t>
      </w:r>
    </w:p>
    <w:p>
      <w:r>
        <w:t>L'admet partiellement, en ce sens que le gain potentiel n'est pas pris en considération du 1er juillet au 31 décembre 2011 dans le calcul des prestations complémentaires dues à l'assurée.</w:t>
      </w:r>
    </w:p>
    <w:p>
      <w:r>
        <w:rPr>
          <w:b/>
        </w:rPr>
        <w:t>E. 3</w:t>
      </w:r>
    </w:p>
    <w:p>
      <w:r>
        <w:t>Le rejette pour le surplus.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