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ATAS/1200/2010 vom 12. Mai 2010</w:t>
      </w:r>
    </w:p>
    <w:p>
      <w:r>
        <w:t>GE Cour de justice, 2010-05-12, FR</w:t>
      </w:r>
    </w:p>
    <w:p>
      <w:r>
        <w:rPr>
          <w:b/>
        </w:rPr>
        <w:t xml:space="preserve">Quelle: </w:t>
      </w:r>
      <w:r>
        <w:t>https://mcp.opencaselaw.ch/entscheid/ge_gerichte_ATAS_1200_2010</w:t>
      </w:r>
    </w:p>
    <w:p>
      <w:r>
        <w:t>FR: GE_GERICHTE ATAS/1200/2010 du 12 mai 2010</w:t>
      </w:r>
    </w:p>
    <w:p>
      <w:r>
        <w:t>IT: GE_GERICHTE ATAS/1200/2010 del 12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1er janvier 1995 (cf. ATF 133 V 205).</w:t>
      </w:r>
    </w:p>
    <w:p>
      <w:r>
        <w:rPr>
          <w:b/>
        </w:rPr>
        <w:t>E. 4</w:t>
      </w:r>
    </w:p>
    <w:p>
      <w:r>
        <w:t>Aux termes de l'art. 30c al. 6 LPP, lorsque les époux divorcent avant la survenance d'un cas de prévoyance, le versement anticipé pour l'acquisition d'un logement est considéré comme une prestation de libre passage et est partagé conformément aux art. 122, 123 et 141 CC, et à l'art. 22 LFLP. Il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w:t>
      </w:r>
    </w:p>
    <w:p>
      <w:r>
        <w:t>A/2203/2010 4/5 LFLP. En effet, ces intérêts, échus durant le mariage et qui profitent au conjoint affilié à l'institution de prévoyance, sont destinés à compenser l'inflation (ATF 128 V 230).</w:t>
      </w:r>
    </w:p>
    <w:p>
      <w:r>
        <w:rPr>
          <w:b/>
        </w:rPr>
        <w:t>E. 5</w:t>
      </w:r>
    </w:p>
    <w:p>
      <w:r>
        <w:t>En l’espèce, le juge de première instance a ordonné le partage par moitié des prestations de sortie acquises durant le mariage par les demandeurs. Les dates pertinentes sont, d’une part, celle du mariage, le 4 mai 1985, d’autre part le 17 juin 2010, date à laquelle le jugement de divorce est devenu exécutoire.</w:t>
      </w:r>
    </w:p>
    <w:p>
      <w:r>
        <w:rPr>
          <w:b/>
        </w:rPr>
        <w:t>E. 6</w:t>
      </w:r>
    </w:p>
    <w:p>
      <w:r>
        <w:t>Selon les renseignements recueillis et conformément à ce qui a été exposé ci- dessus, il appert que la prestation acquise pendant le mariage par le demandeur est 65'457 fr. 35, tandis que celle acquise par la demanderesse est de 32'980 fr. 95 (2'569 fr. 09 + 55 fr. + 21'948 fr. 55 + 8'408 fr. 30), les intérêts ayant déjà été calculés par les institutions de prévoyance défenderesses. Ainsi le demandeur doit à son ex-épouse le montant de 32'728 fr. 70 (65'457 fr. 35 : 2) et celle-ci lui doit le montant de 16'490 fr. 50 (32'980 fr. 95 : 2), de sorte que c’est le demandeur qui doit à son ex-épouse la somme de 16'238 fr. 20 (32'728 fr. 70 - 16'490 fr. 50).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A/2203/2010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