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ATAS/11/2026 vom 13. Januar 2026</w:t>
      </w:r>
    </w:p>
    <w:p>
      <w:r>
        <w:t>GE Cour de justice, 2026-01-13, FR</w:t>
      </w:r>
    </w:p>
    <w:p>
      <w:r>
        <w:rPr>
          <w:b/>
        </w:rPr>
        <w:t xml:space="preserve">Quelle: </w:t>
      </w:r>
      <w:r>
        <w:t>https://mcp.opencaselaw.ch/entscheid/ge_gerichte_ATAS_11_2026</w:t>
      </w:r>
    </w:p>
    <w:p>
      <w:r>
        <w:t>FR: GE_GERICHTE ATAS/11/2026 du 13 janvier 2026</w:t>
      </w:r>
    </w:p>
    <w:p>
      <w:r>
        <w:t>IT: GE_GERICHTE ATAS/11/2026 del 13 gennaio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 délai de recours est de trente jours (art. 60 al. 1 LPGA ; art. 62 al. 1 let. a de la loi sur la procédure administrative du 12 septembre 1985 [LPA - E 5 10]). En l’espèce, par courrier adressé à l’OCAS le 27 mai 2025, le recourant a manifesté son intention de faire recours contre la décision litigieuse, car le volet psychique n’avait pas été pris en compte. Cet envoi aurait dû être directement transmis à la Cour de céans comme objet de sa compétence en application de l’art. 30 LPGA.</w:t>
      </w:r>
    </w:p>
    <w:p>
      <w:r>
        <w:t>A/2021/2025 - 6/14 - Au lieu de cela, l’OCAS a transmis l’envoi à l’intimé. Ce dernier a renvoyé le recourant à agir devant la Cour de céans par envoi du 2 juin 2025. Au vu de ce qui précède, la Cour de céans considère que, par envoi du 27 mai 2025, le recourant a manifesté sa volonté de faire recours contre la décision litigieuse et fait état de ses arguments. Ce courrier a été adressé en temps utile, de sorte qu’il sera retenu que le recourant a agi en temps utile, son recours sera dès lors déclaré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 arrêt du Tribunal fédéral 9C_756/2018 du 17 avril 2019 5.2.2 et la référence).</w:t>
      </w:r>
    </w:p>
    <w:p>
      <w:r>
        <w:rPr>
          <w:b/>
        </w:rPr>
        <w:t>E. 3</w:t>
      </w:r>
    </w:p>
    <w:p>
      <w:r>
        <w:t>Le litige porte sur le droit du recourant à une rente d'invalidité au-delà du 31 décembre 2023 et à des mesures de réadaptation.</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w:t>
      </w:r>
    </w:p>
    <w:p>
      <w:r>
        <w:t>A/2021/2025 - 7/14 -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4.2</w:t>
      </w:r>
    </w:p>
    <w:p>
      <w:r>
        <w:t>Conformément à l’art. 88a al.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4.3</w:t>
      </w:r>
    </w:p>
    <w:p>
      <w:r>
        <w:t>Selon l'art. 28a al. 1 1re phrase LAI, l’évaluation du taux d’invalidité des assurés exerçant une activité lucrative est régie par l’art. 16 LPGA, aux termes duquel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4.4</w:t>
      </w:r>
    </w:p>
    <w:p>
      <w:r>
        <w:t>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 ATAS/750/2019 du 26 août 2019 consid. 7).</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w:t>
      </w:r>
    </w:p>
    <w:p>
      <w:r>
        <w:rPr>
          <w:b/>
        </w:rPr>
        <w:t>E. 5.2</w:t>
      </w:r>
    </w:p>
    <w:p>
      <w:r>
        <w:t>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w:t>
      </w:r>
    </w:p>
    <w:p>
      <w:r>
        <w:t>A/2021/2025 - 8/14 - (Diagnostic and Statistical Manual) (ATF 143 V 409 consid. 4.5.2 ; 141 V 281 consid. 2.1 et 2.1.1 ; 130 V 396 consid. 5.3 et 6).</w:t>
      </w:r>
    </w:p>
    <w:p>
      <w:r>
        <w:rPr>
          <w:b/>
        </w:rPr>
        <w:t>E. 5.2.1</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w:t>
      </w:r>
    </w:p>
    <w:p>
      <w:r>
        <w:rPr>
          <w:b/>
        </w:rPr>
        <w:t>E. 5.2.2</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w:t>
      </w:r>
    </w:p>
    <w:p>
      <w:r>
        <w:rPr>
          <w:b/>
        </w:rPr>
        <w:t>E. 5.2.3</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I. Catégorie « Degré de gravité fonctionnel » (ATF 141 V 281 consid. 4.3)</w:t>
      </w:r>
    </w:p>
    <w:p>
      <w:r>
        <w:t>A/2021/2025 - 9/14 - Les indicateurs appartenant à la catégorie « degré de gravité fonctionnel » forment le socle de base pour l’évaluation des troubles psychiques (ATF 141 V 281 consid. 4.3 ; arrêt du Tribunal fédéral 9C_618/2019 du 16 mars 2020 consid. 8.2). Les déductions qui en sont tirées devront, dans un second temps, résister à un examen de la cohérence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II.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rPr>
          <w:b/>
        </w:rPr>
        <w:t>E. 5.2.4</w:t>
      </w:r>
    </w:p>
    <w:p>
      <w:r>
        <w:t>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5.2.5</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6</w:t>
      </w:r>
    </w:p>
    <w:p>
      <w:r>
        <w:t>A/2021/2025 - 10/14 -</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6.2.1</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6.2.3</w:t>
      </w:r>
    </w:p>
    <w:p>
      <w:r>
        <w:t>Un rapport du SMR a pour fonction d'opérer la synthèse des renseignements médicaux versés au dossier, de prendre position à leur sujet et de prodiguer des</w:t>
      </w:r>
    </w:p>
    <w:p>
      <w:r>
        <w:t>A/2021/2025 - 11/14 -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8.1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w:t>
      </w:r>
    </w:p>
    <w:p>
      <w:r>
        <w:rPr>
          <w:b/>
        </w:rPr>
        <w:t>E. 8.2</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w:t>
      </w:r>
    </w:p>
    <w:p>
      <w:r>
        <w:t>A/2021/2025 - 12/14 - 210 consid. 4.4.1.3 et 4.4.1.4 ; SVR 2010 IV n. 49 p. 151 consid. 3.5 ; arrêt du Tribunal fédéral 8C_760/2011 du 26 janvier 2012 consid. 3).</w:t>
      </w:r>
    </w:p>
    <w:p>
      <w:r>
        <w:rPr>
          <w:b/>
        </w:rPr>
        <w:t>E. 9.1</w:t>
      </w:r>
    </w:p>
    <w:p>
      <w:r>
        <w:t>En l'occurrence, le recourant conteste l’appréciation médicale réalisée par l’intimé, la considérant comme incomplète, le volet psychique n’ayant pas suffisamment été investigué. Pour sa part, le SMR propose également une instruction complémentaire alors que l’intimé tout en se ralliant aux conclusions de ce dernier entend maintenir la décision litigieuse.</w:t>
      </w:r>
    </w:p>
    <w:p>
      <w:r>
        <w:rPr>
          <w:b/>
        </w:rPr>
        <w:t>E. 9.2</w:t>
      </w:r>
    </w:p>
    <w:p>
      <w:r>
        <w:t>En l’espèce, la Cour de céans constate que le volet psychique n’a pas été investigué par l’intimé malgré les éléments au dossier faisant état d’atteintes psychiques avant la procédure de recours. Sur sa demande, la Cour de céans a sollicité un rapport circonstancié du Dr F______, psychiatre. Dans son envoi du 20 octobre 2025, le Dr F______ a retenu que le recourant souffrait d’un trouble dépressif récurrent moyen avec syndrome somatique et d’un trouble douloureux persistant, atteintes qui réduisent sa capacité de travail de 50% depuis le début de son suivi, soit le 22 mars 2024 sans aucune évolution. Il relevait une compliance fluctuante s’agissant de la prise de médicaments. Après avoir pris connaissance dudit envoi, le SMR a considéré qu’il ne pouvait pas se rallier aux conclusions du Dr F______, mais qu’il fallait procéder à des investigations sur le plan psychique. La Cour de céans constate que le rapport du Dr F______ ne précise pas plusieurs éléments importants comme par exemple les traitements prescrits au recourant ou les raisons envisagées s’agissant de la compliance fluctuante. Il est mentionné des troubles de la concentration, mais apparemment il n’a pas été effectué d’examen neuropsychologique, du moins le Dr F______ n’en fait pas état. À cela s’ajoute que le rapport du Dr F______ ne permet pas l’analyse des indicateurs telle que préconisée par la jurisprudence fédérale précitée pour l’examen du caractère invalidant des atteintes psychiques présentées par le recourant. La Cour de céans note par ailleurs que le Dr F______ mentionne également la présence d’un trouble douloureux persistant alors que ce diagnostic n’a pas été invoqué auparavant et qu’il n’a dès lors pas été investigué. Par conséquent, il apparaît que les éléments médicaux au dossier sont insuffisants pour statuer sur les droits du recourant. Au vu de ce qui précède, la Cour de céans considère qu’un complément d’instruction médicale doit être réalisé sous la forme d’une expertise pluridisciplinaire comprenant à tout le moins les volets psychiatrique, neurospsychologique et rhumatologique.</w:t>
      </w:r>
    </w:p>
    <w:p>
      <w:r>
        <w:t>A/2021/2025 - 13/14 - Vu les carences dans l’instruction réalisée par l’Office et la nécessité d’actualiser le dossier médical du recourant, un renvoi à l’intimé se justifie pour mise en œuvre d’une expertise.</w:t>
      </w:r>
    </w:p>
    <w:p>
      <w:r>
        <w:rPr>
          <w:b/>
        </w:rPr>
        <w:t>E. 10</w:t>
      </w:r>
    </w:p>
    <w:p>
      <w:r>
        <w:t>Au vu de ce qui précède, il convient d'admettre partiellement le recours, d'annuler la décision du 5 mai 2025 et de renvoyer la cause à l'intimé pour que la situation médicale du recourant soit instruite dûment, tant sur le plan somatique que psychique, en sollicitant les médecins du recourant afin d’actualiser le dossier avant la mise en place d’une expertise. Le recourant, non représenté, n’a pas engagé de frais pour la défense de ses intérêts, le contraire n'est ni allégué, ni établi. Dans ces conditions, l'allocation d'une indemnité de dépens n'est pas justifiée. La procédure en matière d’octroi de prestations d’assurance-invalidité n’étant pas gratuite (art. 69 al. 1bis LAI), l’intimé supporte l’émolument de CHF 400.-.</w:t>
      </w:r>
    </w:p>
    <w:p>
      <w:r>
        <w:t>***</w:t>
      </w:r>
    </w:p>
    <w:p>
      <w:r>
        <w:t>A/2021/2025 - 14/14 -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