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 vom 13. Januar 2019</w:t>
      </w:r>
    </w:p>
    <w:p>
      <w:r>
        <w:t>GE Cour de justice, 2019-01-13, FR</w:t>
      </w:r>
    </w:p>
    <w:p>
      <w:r>
        <w:rPr>
          <w:b/>
        </w:rPr>
        <w:t xml:space="preserve">Quelle: </w:t>
      </w:r>
      <w:r>
        <w:t>https://mcp.opencaselaw.ch/entscheid/ge_gerichte_ATAS_11_2020</w:t>
      </w:r>
    </w:p>
    <w:p>
      <w:r>
        <w:t>FR: GE_GERICHTE ATAS/11/2020 du 13 janvier 2019</w:t>
      </w:r>
    </w:p>
    <w:p>
      <w:r>
        <w:t>IT: GE_GERICHTE ATAS/11/2020 del 13 gennaio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ou une personne morale, le for est celui de son domicile ou siège (art. 10 al. 1 let. a/b CPC), étant précisé que l’art. 17 al. 1 CPC consacre la possibilité d’une élection de for écrite. En l’occurrence, l’art. 38 des CGA prévoit que pour toutes les actions au sujet du contrat d’assurance, sont compétents au choix les tribunaux du domicile suisse du preneur d’assurance ou de l’ayant droit. La défenderesse ayant son siège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a. La procédure simplifiée s'applique aux litiges portant sur des assurances complémentaires à l’assurance-maladie sociale au sens de la LAMal (art. 243 al. 2 let. f CPC) et la chambre de céans établit les faits d'office (art. 247 al. 2 let. a CPC). b. La jurisprudence applicable avant l'introduction du CPC, prévoyant l'application de la maxime inquisitoire sociale aux litiges relevant de l'assurance-maladie</w:t>
      </w:r>
    </w:p>
    <w:p>
      <w:r>
        <w:t>A/2404/2019 - 4/5 -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c.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w:t>
      </w:r>
    </w:p>
    <w:p>
      <w:r>
        <w:rPr>
          <w:b/>
        </w:rPr>
        <w:t>E. 5</w:t>
      </w:r>
    </w:p>
    <w:p>
      <w:r>
        <w:t>En l’occurrence, la demanderesse a allégué que l’assurée avait accouché le 12 novembre 2018, ce que ni la défenderesse ni l’assurée n’ont contesté, de sorte qu’il convient de considérer ce fait comme avéré. Partant, la demande visant au remboursement par la défenderesse du montant de CHF 3'328.80 versé du 12 novembre au 20 novembre 2018, avec intérêt à 5 % dès le 12 mars 2018 (art. 41 LCA, 102 et 104 al. 1 du code des obligations du 30 mars 1911, RS - 220), sera admise.</w:t>
      </w:r>
    </w:p>
    <w:p>
      <w:r>
        <w:rPr>
          <w:b/>
        </w:rPr>
        <w:t>E. 6</w:t>
      </w:r>
    </w:p>
    <w:p>
      <w:r>
        <w:t>La demanderesse n’étant pas représentée par un conseil, elle n’a pas droit à des dépens, TVA et débours inclus (art. 106 al. 1 CPC; art. 20 à 26 de la loi d'application du code civil suisse et d’autres lois fédérales en matière civile du</w:t>
      </w:r>
    </w:p>
    <w:p>
      <w:r>
        <w:rPr>
          <w:b/>
        </w:rPr>
        <w:t>E. 11</w:t>
      </w:r>
    </w:p>
    <w:p>
      <w:r>
        <w:t>octobre 2012 [LaCC - E 1 05]; art. 84 et 85 du RTFMC). Pour le surplus, la procédure est gratuite (art. 114 let. e CPC).</w:t>
      </w:r>
    </w:p>
    <w:p>
      <w:r>
        <w:t>A/2404/2019 - 5/5 -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