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ATAS/11/2019 vom 10. Januar 2019</w:t>
      </w:r>
    </w:p>
    <w:p>
      <w:r>
        <w:t>GE Cour de justice, 2019-01-10, FR</w:t>
      </w:r>
    </w:p>
    <w:p>
      <w:r>
        <w:rPr>
          <w:b/>
        </w:rPr>
        <w:t xml:space="preserve">Quelle: </w:t>
      </w:r>
      <w:r>
        <w:t>https://mcp.opencaselaw.ch/entscheid/ge_gerichte_ATAS_11_2019</w:t>
      </w:r>
    </w:p>
    <w:p>
      <w:r>
        <w:t>FR: GE_GERICHTE ATAS/11/2019 du 10 janvier 2019</w:t>
      </w:r>
    </w:p>
    <w:p>
      <w:r>
        <w:t>IT: GE_GERICHTE ATAS/11/2019 del 10 gennaio 2019</w:t>
      </w:r>
    </w:p>
    <w:p>
      <w:pPr>
        <w:pStyle w:val="Heading2"/>
      </w:pPr>
      <w:r>
        <w:t>Erwägungen</w:t>
      </w:r>
    </w:p>
    <w:p>
      <w:r>
        <w:rPr>
          <w:b/>
        </w:rPr>
        <w:t>E. 1</w:t>
      </w:r>
    </w:p>
    <w:p>
      <w:r>
        <w:t>a. Les PCF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PCC le sont par la loi genevoise sur les prestations complémentaires cantonales du 25 octobre 1968 (LPCC - J 4 25), et les SubAM par la loi fédérale sur l’assurance-maladie du 18 mars 1994 (LAMal - RS 832.10) et la loi genevoise d’application de la loi fédérale sur l’assurance-maladie du 29 mai 1997 (LaLAMal - J 3 05). b. Conformément à l'art. 134 al. 1 let. a ch. 3 de la loi sur l'organisation judiciaire du 26 septembre 2010 (LOJ - E 2 05), en vigueur dès le 1er janvier 2011, la CJCAS connaît en instance unique des contestations prévues à l’art. 56 de la loi fédérale sur la partie générale du droit des assurances sociales du 6 octobre 2000 (LPGA - RS 830.1) relatives à la LPC. Elle statue aussi sur les contestations prévues à l'art. 43 LPCC (comme le rappelle l’art. 134 al. 3 let. a LOJ), ainsi que sur celles prévues à l’art. 36 LaLAMal (étant précisé que la LPGA ne s’applique pas en matière de SubAM [art. 1 al. 2 let. c LAMal]). La chambre de céans est donc compétente pour connaître du présent recours ratione materiae, dès lors qu’il est dirigé contre une décision sur opposition rendue en application de ces lois, et elle l’est aussi ratione loci (art. 58 LPGA). c. Le recours a été interjeté en temps utile (art. 60 LPGA ; art. 43 LPCC ; art. 36 al. 1 LaLAMal), dans le respect des exigences de forme et de contenu prescrites par la loi (art. 61 let. b LPGA ; art. 89B al. 1 de la loi sur la procédure administrative du 12 septembre 1985 - LPA - E 5 10). La recourante a qualité pour recourir (art. 59 LPGA ; art. 60 let. a et b et art. 89A LPA).</w:t>
      </w:r>
    </w:p>
    <w:p>
      <w:r>
        <w:t>A/4369/2018 - 5/9 - d. Il y a donc lieu d’entrer en matière sur le recours, soit, en l’état, sur la demande de restitution de l’effet suspensif que celui-ci comporte.</w:t>
      </w:r>
    </w:p>
    <w:p>
      <w:r>
        <w:rPr>
          <w:b/>
        </w:rPr>
        <w:t>E. 2</w:t>
      </w:r>
    </w:p>
    <w:p>
      <w:r>
        <w:t>a. Selon l'art. 54 al. 1 let. c LPGA les décisions et les décisions sur opposition sont exécutoires lorsque l'effet suspensif attribué à une opposition ou à un recours a été retiré.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que l’art. 27 LPC déclare applicable par analogie aux prestations complémentaires, l’autorité compétente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b. En droit cantonal, selon l’art. 18 du règlement relatif aux prestations cantonales complémentaires à l'assurance-vieillesse et survivants et à l’assurance-invalidité du 25 juin 1999 (RPCC-AVS/AI - J 4 25.03), l'opposition a un effet suspensif, sauf dans les cas prévus par l'art. 11 de l’ordonnance sur la partie générale du droit des assurances sociales du 11 septembre 2002 (OPGA - RS 830.11) appliqué par analogie (al. 1). Le service peut, sur requête ou d'office, retirer l'effet suspensif ou rétablir l'effet suspensif retiré dans la décision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Selon l’art. 16 du règlement d’exécution de la loi d’application de la loi fédérale sur l’assurance-maladie du 15 décembre 1997 (RaLAMal – J 3 05.01), l'opposition a un effet suspensif, sauf dans les cas prévus par l'art. 11 al. 1 OPGA (al. 1), et l'organe d'exécution peut, sur requête ou d'office, retirer l'effet suspensif ou rétablir l'effet</w:t>
      </w:r>
    </w:p>
    <w:p>
      <w:r>
        <w:t>A/4369/2018 - 6/9 - suspensif retiré dans la décision, une telle requête devant être traitée sans délai (al. 2).</w:t>
      </w:r>
    </w:p>
    <w:p>
      <w:r>
        <w:rPr>
          <w:b/>
        </w:rPr>
        <w:t>E. 3</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il lui faut se fonder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rPr>
          <w:b/>
        </w:rPr>
        <w:t>E. 4</w:t>
      </w:r>
    </w:p>
    <w:p>
      <w:r>
        <w:t>a. En l’espèce, l’intimé n’a pas retiré l’effet suspensif à une opposition qui serait formée (et l’a été) contre la décision initiale par laquelle il a fait obligation à la recourante de restituer les SubAM perçus de 2011 à 2018, décision confirmée par la</w:t>
      </w:r>
    </w:p>
    <w:p>
      <w:r>
        <w:t>A/4369/2018 - 7/9 - décision attaquée, elle-même non déclarée exécutoire nonobstant recours. Ladite obligation de restituer ces subsides n’est donc en l’état pas exécutoire. b. S’agissant des PCF et PCC, l’intimé a retiré l’effet suspensif à une opposition qui serait formée (et l’a été) contre la décision initiale les concernant. Si, en rejetant l’opposition formée à son encontre, l’intimé a confirmé cette décision initiale, il n’a cependant pas déclaré sa décision sur opposition exécutoire nonobstant recours, si bien qu’il paraît douteux que cette dernière, du fait de l’effet suspensif s’attachant au recours interjeté à son encontre, puisse être considérée comme étant entrée en force. Tel est cependant le sens que l’intimé a entendu donner à la décision attaquée, voyant dans le rejet de l’opposition une confirmation aussi du retrait d’effet suspensif assortissant la décision initiale, et c’est également ainsi que la recourante a compris la décision attaquée.</w:t>
      </w:r>
    </w:p>
    <w:p>
      <w:r>
        <w:rPr>
          <w:b/>
        </w:rPr>
        <w:t>E. 5</w:t>
      </w:r>
    </w:p>
    <w:p>
      <w:r>
        <w:t>a. À l’instar des décisions initiales considérées, la décision sur opposition attaquée présente plusieurs facettes. Premièrement, elle statue nouvellement sur le droit de la recourante aux prestations considérées, y compris pour la période à partir du 1er septembre 2018. Deuxièmement, elle révoque les décisions antérieurement rendues allouant de telles prestations à la recourante. Troisièmement, elle fait obligation à la recourante de restituer le trop-perçu. b. Le retrait de l’effet suspensif à une opposition qui serait formée à l’encontre des décisions considérées n’avait de sens et n’était sans doute en réalité voulu par l’intimé qu’en tant qu’il visait la suppression du droit de la recourante à des prestations complémentaires depuis le 1er septembre 2018. Il ne se justifie pas de faire obligation à la recourante, nonobstant opposition respectivement recours, de restituer lesdites prestations prétendument versées en trop, soit avant qu’il n’ait été statué définitivement sur le bien-fondé desdites décisions. Ceci vaut pour les trois facettes de ces dernières, sauf, précisément, pour la suppression du droit aux prestations complémentaires à partir du 1er septembre 2018. c. Pour ces dernières, il n’apparaît pas, à un degré de probabilité suffisant, que la recourante obtiendra gain de cause pour qu’au stade actuel de la procédure l’effet suspensif doive être restitué (ou attribué), avec l’effet que la recourante devrait continuer à bénéficier mensuellement, depuis le 1er septembre 2018, de CHF 565.- de PCF et CHF 852.- de PCC. Par ailleurs, l’intérêt de l’intimé à ne plus lui verser de telles prestations qui s’avéraient le cas échéant ne pas lui être dues serait gravement compromis par l’absence de perspectives réelles, en cas de rejet du recours, d’obtenir la restitution des montants qui seraient ainsi versés sans droit.</w:t>
      </w:r>
    </w:p>
    <w:p>
      <w:r>
        <w:rPr>
          <w:b/>
        </w:rPr>
        <w:t>E. 6</w:t>
      </w:r>
    </w:p>
    <w:p>
      <w:r>
        <w:t>Il se justifie donc de dire que le recours a effet suspensif, sauf en tant que la décision attaquée confirme la suppression du droit de la recourante à des prestations complémentaires dès le 1er septembre 2018.</w:t>
      </w:r>
    </w:p>
    <w:p>
      <w:r>
        <w:rPr>
          <w:b/>
        </w:rPr>
        <w:t>E. 7</w:t>
      </w:r>
    </w:p>
    <w:p>
      <w:r>
        <w:t>La suite de la procédure reste réservée.</w:t>
      </w:r>
    </w:p>
    <w:p>
      <w:r>
        <w:t>A/4369/2018 - 8/9 - * * * * * *</w:t>
      </w:r>
    </w:p>
    <w:p>
      <w:r>
        <w:t>A/4369/2018 - 9/9 -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