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ATAS/11/2013 vom 7. Januar 2013</w:t>
      </w:r>
    </w:p>
    <w:p>
      <w:r>
        <w:t>GE Cour de justice, 2013-01-07, FR</w:t>
      </w:r>
    </w:p>
    <w:p>
      <w:r>
        <w:rPr>
          <w:b/>
        </w:rPr>
        <w:t xml:space="preserve">Quelle: </w:t>
      </w:r>
      <w:r>
        <w:t>https://mcp.opencaselaw.ch/entscheid/ge_gerichte_ATAS_11_2013</w:t>
      </w:r>
    </w:p>
    <w:p>
      <w:r>
        <w:t>FR: GE_GERICHTE ATAS/11/2013 du 7 janvier 2013</w:t>
      </w:r>
    </w:p>
    <w:p>
      <w:r>
        <w:t>IT: GE_GERICHTE ATAS/11/2013 del 7 gennaio 2013</w:t>
      </w:r>
    </w:p>
    <w:p>
      <w:pPr>
        <w:pStyle w:val="Heading2"/>
      </w:pPr>
      <w:r>
        <w:t>Regeste</w:t>
      </w:r>
    </w:p>
    <w:p>
      <w:r>
        <w:t>Résumé: Le statut mixte 25% active et 75% ménagère retenu par l'OAI ne saurait être confirmé au vu des déclarations de la recourante, qui n'ont pas varié quant à sa volonté, en bonne santé, de travailler à 100 %, de son parcours professionnel démontrant qu'elle a exercé, nonobstant ses charges de famille, des activités à plein temps et qu'elle a quitté son dernier emploi en raison d'un licenciement et non pas par choix personnel. Elle s'est également inscrite au chômage en recherchant un emploi à 100 % après la naissance de sa fille, démontrant sa volonté de continuer à travailler à 100 % ce qu'elle n'a toutefois pas pu réaliser en raison de ses problèmes de santé qui se sont aggravés, depuis son dernier accouchement, même si ceux-ci ne sont pas médicalement documentés dès lors qu'il ne s'agit pas d'établir si la recourante était en incapacité de travail effective dès 1995 mais uniquement de déterminer à quel taux d'activité elle entendait travailler.</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w:t>
      </w:r>
    </w:p>
    <w:p>
      <w:r>
        <w:t>A/3028/2011 - 18/32 -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6 octobre 2006, laquelle invoque une aggravation de l'état de santé de la recourante depuis juin 2006. La loi fédérale sur la partie générale du droit des assurances sociales du</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A/3028/2011 - 22/32 -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w:t>
      </w:r>
    </w:p>
    <w:p>
      <w:r>
        <w:t>A/3028/2011 - 23/32 -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7</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w:t>
      </w:r>
    </w:p>
    <w:p>
      <w:r>
        <w:t>A/3028/2011 - 24/32 -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8</w:t>
      </w:r>
    </w:p>
    <w:p>
      <w:r>
        <w:t>a) En l’espèce, l’expertise judiciaire du Dr W________ du 26 avril 2012 et son complément du 6 juin 2012 répondent aux critères jurisprudentiels précités pour qu’il lui soit reconnu une pleine valeur probante. En effet, les plaintes de la recourante sont relatées en détail et complétées par un entretien avec le fils de celle- ci ; le diagnostic posé est clair et motivé ; l'expert relève que la recourante est une personne insuffisamment structurée sur le plan de l’organisation de la pensée, désorientée, de personnalité fruste, pouvant décompenser sur un mode hystériforme, voire franchement psychotique, victime d’un épuisement physique et psychique, avec une symptomatologie de persécution ; elle avait décompensé en 2006 de façon sévère, avec apparition d’une manifestation psychotique franche ; elle avait été amenée peu à peu à dépasser les limites de ce qu’elle pouvait supporter sur le plan émotionnel, entraînant une dépression puis une organisation mentale avec symptomatologie hystériforme et, enfin, une symptomatologie psychotique franche; même si elle paraissait actuellement stabilisée, avec une vulnérabilité psychique persistante, elle présentait des limitations (organisation mentale bancale, structuration insuffisante de la pensée, trouble de la perception,</w:t>
      </w:r>
    </w:p>
    <w:p>
      <w:r>
        <w:t>A/3028/2011 - 25/32 - tendances interprétatives, vulnérabilité au stress) qui l’empêchaient d’exercer une activité professionnelle. L’incapacité de travail était totale depuis le 28 juin 2006. Il a relevé que le diagnostic de trouble schizo-affectif avait d’abord été posé par les médecins des HUG et que même si, en été 2006, les HUG avaient posé le diagnostic de dépression sévère avec symptômes psychotiques, celui-ci était proche du diagnostic de trouble schizo-affectif qui impliquait l’existence conjointe d’éléments affectifs et psychotiques. L’expert a exprimé son accord avec les avis des Drs AB________ et V________ et motivé son désaccord avec les expertises des Drs H__________ et R________ et l’avis de la Dresse U________ du 27 janvier 2011. En particulier, il a relevé que la description de la recourante faite par les experts H__________ et R________ était compatible avec un diagnostic de trouble schizo-affectif, de sorte qu’on ne comprenait pas pourquoi aucun diagnostic psychiatrique n’avait été retenu par ces deux experts. Enfin, le diagnostic et les conclusions de l’expertise sont cohérents avec l’histoire médicale de la recourante et en particulier avec les autres avis médicaux au dossier. A cet égard, les médecins traitants ont, dans un premier temps, constaté un état dépressif (avis des Drs A__________ du 24 juillet 2002, B__________ du 14 octobre 2002, E__________ des 22 janvier 2004, 24 janvier 2005, 19 décembre 2007 et 10 avril 2011 et des HUG du 8 avril 2004), des troubles de l’humeur organiques et des difficultés liées à l’acculturation (avis du Dr C__________ du 24 juin 2003), une symptomatologie dépressive avec symptômes psychotiques (avis des HUG suite au séjour du 13 au 16 juin 2006), un épisode de dépression sévère avec symptômes psychotiques congruents à l’humeur (avis des HUG du 21 juillet 2006 suite au séjour du 28 juin au 21 juillet 2006 et avis des 8 septembre 2006 et 7 juin 2007), et enfin un trouble schizo-affectif (avis des HUG des 20 décembre 2007 et 6 avril 2011). L’expert a relevé que le diagnostic de dépression sévère avec symptômes psychotiques déjà posé aux HUG est proche de celui qu’il retient soit de trouble schizo-affectif, lesquels impliquent l’existence conjointe d’éléments affectifs et psychotiques. Ainsi, l’expertise judiciaire est corroborée par les avis des différents médecins ayant traité l’assurée, ainsi que par ceux ayant pris en charge l’assurée lors de ses hospitalisations aux HUG en juin 2006, juillet 2006, janvier/février 2007. b) S’agissant des autres avis médicaux au dossier, il convient de relever que dans son ordonnance du 8 février 2012, la Cour de céans a expliqué les raisons qui justifiaient d’écarter totalement l’expertise du Dr R________, celle-ci ne remplissant pas les critères jurisprudentiels pour qu’il lui soit reconnu une valeur probante. Il convient de reprendre ces considérations, étant précisé que, selon la</w:t>
      </w:r>
    </w:p>
    <w:p>
      <w:r>
        <w:t>A/3028/2011 - 26/32 - jurisprudence du Tribunal fédéral,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 9C_603/2009 du 2 février 2010 consid. 3.3 et les références, in SVR 2010 IV n° 58 p. 177; ATF 9C_76/2011 consid. 5.2.1 du 24 août 2011). La Cour de céans constate ainsi que l'essentiel de l'expertise du Dr R________ n'est pas consacrée à l'évaluation médicale de la recourante mais à une critique générale des thérapeutes ou experts qui sont intervenus pour soigner ou examiner la recourante, critiques que l'on peine à comprendre en raison d'une rédaction imprécise et d'un manque de motivation. Déjà au stade de l'anamnèse, l'expert relève qu'en dépit "des conseils de plusieurs médecins, on assiste à une explosion des confusions, discordes, disharmonie autour des propositions médicales, souvent à caractère personnel, qui demeurent sans motivation ou explication, alors que, comme on le verra plus loin, les diagnostics médicaux répondent à des critères connus et en conformité avec la nosographie en cours". L'expert parle de polypragmasie médicale, de médecins agonistes et antagonistes, et des conflits et combats qui se seraient déroulés entre ceux-ci (expertise p. 2), sans donner d'informations à ce sujet, ni expliquer en quoi ce contexte aurait eu une influence sur les traitements ou appréciations médicales concernant la recourante, d'une part et sans que cela ne ressorte du dossier, d'autre part. L'expert estime ensuite qu'il est dommage que les troubles somatiques "proposés" par les médecins n'ont pas été en mesure d'arriver à leur fin, leur aboutissement et semble regretter que les problèmes médicaux aient été transférés à la psychiatrie. Il relève que les médecins ont exercé une certaine pression appuyée et une attitude polémique et n'étaient à tort le plus souvent pas spécialisés mais seulement internistes ou généralistes (expertise p. 4). Cette critique, peu claire, semble signifier que l'assurée a été soignée par des médecins incompétents qui n'ont pas su, à tort, traiter ses problèmes somatiques et ont créé un climat polémique autour de son cas en finissant par qualifier, de manière erronée, ses problèmes de santé de psychiatrique. Or, à cet égard on peine à suivre l'expert, lequel reste à un niveau de</w:t>
      </w:r>
    </w:p>
    <w:p>
      <w:r>
        <w:t>A/3028/2011 - 27/32 - critique très général, sans se référer à des rapports médicaux ou des traitements particuliers concernant la recourante. L'expert laisse ainsi entendre que l'ensemble des médecins qui a traité ou examiné la recourante a erré. Cette insinuation qui débute à la page 2 de l'expertise (déjà au stade de l'anamnèse) fait l'objet principal de celle-ci et est complétée par de la théorie médicale issue du DSM-IV et de la doctrine médicale, celle-ci étant mentionnée pêle-mêle, aux fins de nier chaque diagnostic posé antérieurement par les médecins. A nouveau, cette critique n'est pas étayée et peu convaincante. On constate que les plaintes de la recourante ne sont pas mentionnées avec sérieux, l'expert relevant que l'assurée est "remplie de plaintes" et mélangeant la notion de plainte avec celle des diagnostics posés par les différents médecins (tels que fibromyalgie, troubles somatoformes douloureux persistants, trouble schizo- affectif, trouble dépressif grave avec symptômes psychotiques…) (cf. expertise p. 5). Il relève que les plaintes seront développées plus loin, "au développement critique et conclusion"; or ce chapitre n'existe pas et la conclusion intitulée "pour terminer avec Mme M__________, on peut dire quelques mots" ne mentionne que des plaintes de douleurs constantes, progressives, diverses et multiples…etc. L'expertise est aussi contradictoire car elle conclut à l'existence d'une psychose, un trouble schizo-affectif, trouble délirant, nombreux troubles de l'humeur tout en disant, sans explication ou motivation, qu'il y a eu progressivement des complications assécurologiques avec semble-t-il disparition de tous les autres diagnostics (cf. expertise p. 15), alors même que le trouble schizo-affectif n'a pas été retenu antérieurement par l'expert (cf. expertise p. 11), ni les autres diagnostics précités (cf. expertise p. 9 à 15). Par ailleurs, l'expert ne discute pas les autres pièces médicales pertinentes du dossier depuis juin 2006, date à laquelle la recourante allègue une aggravation de son état de santé, en particulier ses hospitalisations dans le service de psychiatrie des HUG, du 13 au 16 juin 2006, du 28 juin au 21 juillet 2006 et en entrée non volontaire, du 5 au 17 octobre 2007 et trois jours en janvier 2007 ainsi que l'avis du Dr AB________ du 20 décembre 2007 faisant état d'un diagnostic de trouble schizo-affectif, épisode actuel dépressif et d'une incapcité de travail totale. L'expert n'a, en particulier, pas jugé utile de contacter les psychiatres-traitants, ce qui aurait été judicieux au vu des critiques émises par l'expert à l'encontre de ceux-ci. En outre, le sens de la conclusion du rapport rédigé comme suit est confus : "dans le monde dans lequel vit la patiente, monde mythomaniaque, pathomimique, pithiatique, fabulatoire et pseudo-magique, qu'en réalité nous sommes vaccinés. On peut par ailleurs dire que Mme M__________ ne souffre d'aucune maladie connue,</w:t>
      </w:r>
    </w:p>
    <w:p>
      <w:r>
        <w:t>A/3028/2011 - 28/32 - elle peut vivre normalement. Une influence sur la réadaptation professionnelle est nécessaire pour une année". Enfin, il existe une discordance importante entre la conclusion de l'expertise du Dr R________ et l'avis de la psychiatre-traitante, la Dresse V________ (rapports des 6 avril et 8 novembre 2011) selon lequel la recourante présenterait un trouble schizo-affectif et une incapacité de travail totale. Pour toutes ces raisons, l'expertise du Dr R________ doit être écartée. c) Quant à l’expertise du Dr H__________, celle rendue le 3 septembre 2004 était antérieure à l’aggravation de l’état de santé constatée par l’expert W________ depuis le 28 juin 2006 et celle rendue le 28 juillet 2008 n’a pas été jugée pertinente par l’intimé dès lors qu’elle ne répondait pas aux questions de la mission d’expertise, de sorte que l’intimé a dû mandater un autre expert. d) Enfin, la Dresse U________ se contente, dans ses avis, d’une part, d'invoquer les expertises des Drs H__________ et R________, en particulier sans discuter la valeur probante de l’expertise de celui -notamment au regard de l’ordonnance d’expertise de la Cour de céans du 6 février 2012- et, d’autre part, de relever que tant le Dr V________ que l’expert W________ présentent une attitude empathique envers la recourante, de sorte que leurs avis seraient dénués, pour cette raison, de toute pertinence. Or, les avis de la Dresse U________ ne sont pas à même de remettre en cause l’expertise judiciaire, les expertises des Drs H__________ et R________ sur lesquelles ils se fonde devant être, pour les raisons précitées, écartées et le reproche d'empathie de l'expert W________, si tant est qu'il soit pertinent, n'est pas étayé.</w:t>
      </w:r>
    </w:p>
    <w:p>
      <w:r>
        <w:rPr>
          <w:b/>
        </w:rPr>
        <w:t>E. 9</w:t>
      </w:r>
    </w:p>
    <w:p>
      <w:r>
        <w:t>Au vu de ce qui précède, il y a lieu de suivre les conclusions de l’expert judiciaire et de reconnaître à la recourante une incapacité de travail totale depuis le 28 juin 2006, soit postérieurement à la décision de l’OAI du 1er juin 2005 rejetant la demande de prestations de la recourante et confirmée par l’arrêt du Tribunal cantonal des assurances sociales du 7 juin 2006. Par ailleurs, il est à constater que si l’expert W________ a réfuté tout diagnostic de trouble somatoforme douloureux, le Dr I_________ a, d’un point de vue rhumatologique, constaté, dans ses avis des 17 mars 2004 et 1er décembre 2010 dont la valeur probante et admise par les parties, la présence respectivement d’un trouble somatoforme douloureux persistant et de plaintes douloureuses musculo- squelettiques globales, avec de nombreux signes de non-organicité. Un diagnostic de fibromyalgie a également été posé par les Drs A__________ (avis du 24 juillet 2002), E__________ (avis des 22 janvier 2004 et 10 avril 2011), et les HUG (avis des 8 avril 2004, 18 octobre 2007 et 4 décembre 2007) et de suspicion de fibromyalgie par le Dr B__________ (avis du 14 octobre 2002).</w:t>
      </w:r>
    </w:p>
    <w:p>
      <w:r>
        <w:t>A/3028/2011 - 29/32 - En toute hypothèse, même si un diagnostic de fibromyalgie devait être retenu, il conviendrait de constater qu’en application de la jurisprudence précitée (ATF 131 V 49), la recourante présente une comorbidité psychiatrique importante par sa gravité, son acuité et sa durée (trouble schizo-affectif), de sorte que la fibromyalgie devrait être reconnue comme invalidante, la recourante subissant depuis le 28 juin 2006 une incapacité de travail totale dans toute activité. Ainsi, l’état de santé de la recourante s’est aggravé au sens de l'art. 17 LPGA, de sorte qu’elle a présenté depuis le 28 juin 2006 une incapacité de travail totale et durable, laquelle, selon l’arrêt du Tribunal cantonal des assurances sociales du 16 juillet 2007, a constitué le point de départ du délai de carence de l’art. 29 al. 1 LAI, dans sa teneur en vigueur jusqu’au 31 décembre 2007.</w:t>
      </w:r>
    </w:p>
    <w:p>
      <w:r>
        <w:rPr>
          <w:b/>
        </w:rPr>
        <w:t>E. 10</w:t>
      </w:r>
    </w:p>
    <w:p>
      <w:r>
        <w:t>S'agissant du statut de l'assurée, l'enquêtrice a conclu à un statut d'active à 100 % peu plausible en raison du fait que l'époux de l'assurée était lui-même à la maison depuis 2002 sans s'impliquer dans les tâches ménagères ce qui laissait à penser qu'il attendait de son épouse qu'elle les assume pleinement. Or, l'enquêtrice a relevé sous point 6.1 de son rapport que de 1999 à 2007 les deux belles-filles de la recourante avaient successivement vécu avec celle-ci et son époux et avaient assumé la majeure partie des tâches ménagères, ce qui était encore le cas, aidées de plus par la fille cadette de seize ans du couple. On ne saurait dans ces circonstances retenir que l'assurée n'aurait pas eu la volonté d'exercer une activité lucrative à un taux supérieur à 25 % pour répondre aux exigences de son époux de tenir le ménage. Par ailleurs, l'enquêtrice a relevé des éléments pertinents en faveur d'un statut d'active à 100 % de la recourante, soit le fait que celle-ci avait exposé qu'elle aurait travaillé à 100 % en bonne santé car elle aimait bien travailler et que la situation financière de la famille justifierait que la recourante travaille à 100 %. Le statut mixte 25 % active, 75 % ménagère, uniquement fondé sur la dernière expérience professionnelle de la recourante chez XE__________ SA ne saurait dans ces conditions être confirmé. Au surplus, la Cour de céans constate que l'assurée a, selon l'extrait de son compte individuel et ses déclarations en audience, non contestées par l'intimé, travaillé à plein temps de 1983 à mars 1985 pour X__________ puis pour XB__________ AG depuis 1989. Elle a été licenciée de cet emploi après la naissance de sa fille et s'est inscrite au chômage dès octobre 1993 en recherchant une activité à 100 %. Dès septembre 1995 elle n'a plus que travaillé à temps partiel en relevant qu'elle souffrait du dos après son accouchement de sorte qu'elle n'avait pas pu exercer un travail à 100 % comme elle aurait souhaité le faire. Vu l'inscription de la recourante à l'OCE dès octobre 1993, avec l'intention de rechercher un emploi à 100 %, l'avis de l'intimé selon lequel après la naissance de</w:t>
      </w:r>
    </w:p>
    <w:p>
      <w:r>
        <w:t>A/3028/2011 - 30/32 - sa fille, la recourante avait cessé toute activité professionnelle, n'apparaît ainsi pas exacte. En réalité, la recourante a été inscrite jusqu'en 1995 à l'assurance-chômage. Au vu également de la situation financière familiale, il y a lieu d'admettre que la recourante aurait dû, en bonne santé, exercer une activité à 100 %, en particulier compte tenu du fait que son époux n'exerce plus d'activité depuis de nombreuses années suite à son accident de 1992. Le fait qu'aucune incapacité de travail n'a été attestée avant 2001 n'est pas en contradiction avec les explications de la recourante selon lesquelles elle avait souffert du dos après son accouchement de 1993 et qu'elle n'avait plus été en mesure de travailler à 100 % dès cette date alors même qu'elle le souhaitait. En particulier, l'intimé n'explique pas pour quels motifs la recourante aurait renoncé, en bonne santé, à une activité à plein temps, alors même que son époux était en incapacité de travail et que la situation financière du couple était précaire de telle sorte que celui-ci a dû se faire soutenir par ses fils et belles-filles et, ensuite, par les services sociaux. On ne saurait, dans ces conditions, considérer, comme l'a fait l'intimé, que la recourante s'est accommodée de sa situation financière précaire et en particulier dépendante des prestations sociales. Au vu de ce qui précède, il y a lieu de se fonder sur les déclarations de la recourante, qui n'ont pas varié quant à sa volonté, en bonne santé, de travailler à 100 %, de son parcours professionnel démontrant qu'elle a exercé, nonobstant ses charges de famille, des activités à plein temps et que c'est en raison d'un licenciement et non pas par choix personnel qu'elle a quitté son dernier emploi, qu'enfin elle s'est inscrite au chômage en recherchant un emploi à 100 % après la naissance de sa fille, démontrant sa volonté de continuer à travailler à 100 % ce qu'elle n'a toutefois pas pu réaliser en raison de ses problèmes de santé qui se sont aggravés, depuis son dernier accouchement, même si ceux-ci ne sont pas médicalement documentés dès lors qu'il ne s'agit pas d'établir si la recourante était en incapacité de travail effective dès 1995 mais uniquement de déterminer à quel taux d'activité elle entendait travailler. Enfin, la situation devant être évaluée jusqu'en 2011, date de la décision litigieuse, il apparaît que la recourante aurait, vu l'âge de ses enfants et en particulier de sa dernière fille née en 1993, présenté, en toute hypothèse, la disponibilité pour assumer un travail à plein temps. Partant, il convient de retenir un statut d'active en faveur de la recourante.</w:t>
      </w:r>
    </w:p>
    <w:p>
      <w:r>
        <w:rPr>
          <w:b/>
        </w:rPr>
        <w:t>E. 11</w:t>
      </w:r>
    </w:p>
    <w:p>
      <w:r>
        <w:t>En conséquence, depuis le 1er juin 2007, la recourante a droit à une rente entière de l’assurance-invalidité, de sorte que son recours doit être admis, que la décision de l’intimé du 31 août 2011 doit être annulée et qu'il sera dit que la recourante a droit à une rente entière d’invalidité depuis le 1er juin 2007.</w:t>
      </w:r>
    </w:p>
    <w:p>
      <w:r>
        <w:t>A/3028/2011 - 31/32 - La loi fédérale du 16 décembre 2005 modifiant la loi fédérale sur l'assurance- invalidité est entrée en vigueur le 1er juillet 2006 (RO 2006 2003), apporte des modifications qui concernent notamment la procédure conduite devant la Chambre des assurances sociales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et celui-ci sera condamné à verser à la recourante une indemnité de 2'500 fr.</w:t>
      </w:r>
    </w:p>
    <w:p>
      <w:r>
        <w:t>A/3028/2011 - 32/32 -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