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ATAS/119/2020 vom 13. Februar 2020</w:t>
      </w:r>
    </w:p>
    <w:p>
      <w:r>
        <w:t>GE Cour de justice, 2020-02-13, FR</w:t>
      </w:r>
    </w:p>
    <w:p>
      <w:r>
        <w:rPr>
          <w:b/>
        </w:rPr>
        <w:t xml:space="preserve">Quelle: </w:t>
      </w:r>
      <w:r>
        <w:t>https://mcp.opencaselaw.ch/entscheid/ge_gerichte_ATAS_119_2020</w:t>
      </w:r>
    </w:p>
    <w:p>
      <w:r>
        <w:t>FR: GE_GERICHTE ATAS/119/2020 du 13 février 2020</w:t>
      </w:r>
    </w:p>
    <w:p>
      <w:r>
        <w:t>IT: GE_GERICHTE ATAS/119/2020 del 13 febbraio 2020</w:t>
      </w:r>
    </w:p>
    <w:p>
      <w:pPr>
        <w:pStyle w:val="Heading2"/>
      </w:pPr>
      <w:r>
        <w:t>Erwägungen</w:t>
      </w:r>
    </w:p>
    <w:p>
      <w:r>
        <w:rPr>
          <w:b/>
        </w:rPr>
        <w:t>E. 1</w:t>
      </w:r>
    </w:p>
    <w:p>
      <w:r>
        <w:t>a. À teneur de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et qui sont relatives à la loi fédérale sur l’assurance-maladie du 18 mars 1994 (LAMal - RS 832.10). Conformément à l’art. 7 du Code de procédure civile suisse du 19 décembre 2008 (CPC - RS 272) et à l’art. 134 al. 1 let. c LOJ, la Chambre des assurances sociales de la Cour de justice connaît également en instance unique des contestations relatives aux assurances complémentaires à l’assurance-maladie sociale prévue par la LAMal, relevant de la loi fédérale sur le contrat d’assurance du 2 avril 1908 (LCA - RS 221.229.1). b. Dans sa version antérieure, la LOJ prévoyait, en son art. 56 V al. 1 let. a ch. 4, que le Tribunal cantonal des assurances sociales connaissait en instance unique des contestations prévues à l'article 56 LPGA qui étaient relatives à la LAMal et, à son art. 56 V al. 1 let. c aLOJ, des contestations relatives aux assurances complémentaires à l'assurance-maladie sociale prévue par la LAMal et à l'assurance-accidents obligatoire prévue par la loi fédérale sur l’assurance-accident du 20 mars 1981 (LAA - RS 832.20).</w:t>
      </w:r>
    </w:p>
    <w:p>
      <w:r>
        <w:rPr>
          <w:b/>
        </w:rPr>
        <w:t>E. 2</w:t>
      </w:r>
    </w:p>
    <w:p>
      <w:r>
        <w:t>a. Le 1er janvier 1996 est entrée en vigueur la LAMal, laquelle régit exclusivement l'assurance-maladie sociale. Les assurances complémentaires sont quant à elles soumises au droit privé, soit la loi fédérale sur le contrat d'assurance du 2 avril 1908 (LCA - RS 221.229.1) et le droit des obligations. L'art. 3 al. 2 LAMal délègue la compétence au Conseil fédéral d'excepter de l'assurance obligatoire certaines catégories de personnes. Faisant usage de cette délégation, l'autorité exécutive a notamment prévu, à l’art. 2 al. 4 de l’ordonnance sur l'assurance-maladie du 27 juin 1995 (OAMal - RS 832.102), l'exception à l'obligation de s'assurer, sur requête, des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w:t>
      </w:r>
    </w:p>
    <w:p>
      <w:r>
        <w:t>A/2534/2019 - 5/7 -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 b. La couverture d’assurance-maladie équivalente ne relève pas du droit social mais du droit privé, de sorte que la saisine d’un tribunal des assurances sociales ne sera en principe pas envisageable. Ce, à moins que, par hypothèse, l’organisation judiciaire d’un canton particulier ait opté pour le regroupement des litiges d’assurances privées et sociales au sein d’un même prétoire, mais en application des règles procédurales et matérielles distinctes qui gouvernent ces deux domaines de l’assurance (Gregor CHATTON, les exceptions à l’assurance obligatoire des soins, in RSAS 55/2011 p. 498).</w:t>
      </w:r>
    </w:p>
    <w:p>
      <w:r>
        <w:rPr>
          <w:b/>
        </w:rPr>
        <w:t>E. 3</w:t>
      </w:r>
    </w:p>
    <w:p>
      <w:r>
        <w:t>Dans un arrêt du 29 juin 2006 (ATAS/583/2006), le Tribunal cantonal des assurances sociales - alors compétent - a rappelé que l’art. 56 V al. 1 let. c aLOJ lui donnait la compétence de statuer sur l'ensemble des contestations relatives aux assurances complémentaires aux assurances-maladies et accidents sociales, qu’elles soient offertes par une institution d'assurance privée non autorisée de pratiquer l'assurance obligatoire des soins ou par une institution ayant le droit de la pratiquer. Dans cette affaire, concernant un étudiant étranger exempté de l’obligation de s’affilier à une caisse-maladie autorisée à pratiquer l’assurance obligatoire des soins en Suisse, le Tribunal s’est déclaré incompétent ratione materiae au motif que le contrat en cause, soumis à la LCA et non à la LAMal, n’était pas complémentaire à l’assurance obligatoire des soins, mais se substituait au contraire à celle-ci puisqu’il offrait des prestations équivalentes à celles d’une assurance-maladie sociale, condition nécessaire pour exempter à l’obligation de s’assurer auprès d’une caisse soumise à la LAMal, aux termes de l’art. 2 al. 4 OAMal.</w:t>
      </w:r>
    </w:p>
    <w:p>
      <w:r>
        <w:rPr>
          <w:b/>
        </w:rPr>
        <w:t>E. 4</w:t>
      </w:r>
    </w:p>
    <w:p>
      <w:r>
        <w:t>En l’espèce, les parties ont conclu un contrat portant sur les frais médicaux, pharmaceutiques et hospitaliers en cas de maladie ou d’accident, ainsi que l’hospitalisation, le rapatriement et l’assistance. Selon les certificats d’assurance produits, le contrat est soumis aux conditions générales d’assurance (ci-après : CGA), édition 2014.01 (polices de 2014 et 2015), puis 2018.01.001 (police de 2018). Ces CGA prévoient notamment que les droits et les obligations des parties sont fixés dans la police d’assurance, dans les avenants et dans les CGA. Pour tout ce qui n’est pas expressément prévu par ces documents, sont applicables « les dispositions du Codes des Assurances français » (art. A). Pour les cas de maladie, d’accident et de maternité, les prestations sont remboursées selon la Loi sur l’assurance maladie suisse (LAMal) (art. C). Le risque est assuré par MGEN International Benefits qui a délégué l’ensemble de la gestion du présent programme d’assurance à ASI. La police est régie par le droit français. Tout litige ne pouvant être autrement résolu sera soumis aux juridictions de France (Art. T).</w:t>
      </w:r>
    </w:p>
    <w:p>
      <w:r>
        <w:t>A/2534/2019 - 6/7 -</w:t>
      </w:r>
    </w:p>
    <w:p>
      <w:r>
        <w:rPr>
          <w:b/>
        </w:rPr>
        <w:t>E. 5</w:t>
      </w:r>
    </w:p>
    <w:p>
      <w:r>
        <w:t>En l’espèce, la Cour de céans relève tout d’abord que la jurisprudence rendue sous l’empire de l’art. 56 V al. 1 let. c aLOJ conserve toute sa pertinence, dès lors que la teneur de cette disposition était similaire à celle de l’art. 134 al. 1 let. c LOJ désormais en vigueur. La Cour de céans constate ensuite que la situation de la recourante est en tous points comparable à celle examinée par le Tribunal cantonal des assurances sociales dans l’arrêt du 29 juin 2006 précité. En effet, en sa qualité d’étudiante étrangère, la recourante a conclu un contrat portant sur les frais médicaux, pharmaceutiques et hospitaliers en cas de maladie ou d’accident, ainsi que l’hospitalisation, le rapatriement et l’assistance. Cette couverture d’assurance équivalente lui a permis d’être exemptée de son obligation de s’affilier auprès d’un assureur social pratiquant l’assurance-maladie obligatoire, en application de l’art. 2 al. 4 OAMal. Le contrat conclu par les parties n’est donc pas complémentaire à l’assurance obligatoire des soins, puisqu’il a pour but de se substituer à celle-ci. Compte tenu du fait qu’il s’agit donc bien d’un contrat d’assurance-maladie privé, la demande ne peut qu’être déclarée irrecevable en raison de l’incompétence de la Cour de céans.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A/2534/2019 - 7/7 -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