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ATAS/119/2018 vom 8. Februar 2018</w:t>
      </w:r>
    </w:p>
    <w:p>
      <w:r>
        <w:t>GE Cour de justice, 2018-02-08, FR</w:t>
      </w:r>
    </w:p>
    <w:p>
      <w:r>
        <w:rPr>
          <w:b/>
        </w:rPr>
        <w:t xml:space="preserve">Quelle: </w:t>
      </w:r>
      <w:r>
        <w:t>https://mcp.opencaselaw.ch/entscheid/ge_gerichte_ATAS_119_2018</w:t>
      </w:r>
    </w:p>
    <w:p>
      <w:r>
        <w:t>FR: GE_GERICHTE ATAS/119/2018 du 8 février 2018</w:t>
      </w:r>
    </w:p>
    <w:p>
      <w:r>
        <w:t>IT: GE_GERICHTE ATAS/119/2018 del 8 febbraio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les droits de participation de l’assurée à l’établissement d’une expertise par le Dr B_____ ont été respectés.</w:t>
      </w:r>
    </w:p>
    <w:p>
      <w:r>
        <w:rPr>
          <w:b/>
        </w:rPr>
        <w:t>E. 4</w:t>
      </w:r>
    </w:p>
    <w:p>
      <w:r>
        <w:t>Dans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de la Constitution fédérale de la Confédération suisse du 18 avril 1999 - Cst. - RS</w:t>
      </w:r>
    </w:p>
    <w:p>
      <w:r>
        <w:t>A/4940/2017 - 4/7 - 101, art. 42 LPGA et art. 6 ch. 1 de la Convention de sauvegarde des droits de l’homme et des libertés fondamentales du 4 novembre 1950 [CEDH; RS 0.101]; ATF 137 V 210 consid. 3.2.4.6 et 3.2.4.9). L'assuré a le droit de se déterminer préalablement sur les questions à l'attention des experts dans le cadre de la décision de mise en œuvre de l'expertise (ATF 137 V 210 consid 3.4.2.9).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Selon le Tribunal fédéral, il est de la responsabilité tant de l’assureur social que de l’assuré de parer aux alourdissements de la procédure qui peuvent être évités, en gardant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pas atteint que l'assureur pourra ordonner une expertise, en rendant une décision qui pourra être attaquée par l'assuré (ATF 138 V 271 consid. 1.1). Enfin, la chambre de céans a jugé qu'indépendamment des griefs invoqués par l'assuré à l'encontre de l'expert, la désignation de l'expert par l'assureur devait être annulée et la cause lui être renvoyée lorsqu'il n'avait pas essayé de parvenir à un accord avec l'assuré sur le choix de l'expert, en violation des droits de participation de l'assuré dans la procédure de désignation de l'expert. Elle a précisé à cet égard que ce n'est pas uniquement en présence de justes motifs de récusation à l'encontre de l'expert que l'assuré pouvait émettre des contre-propositions (ATAS/226/2013 et ATAS/263/2013). Il n'en demeure pas moins qu'une partie ne saurait s’opposer à la désignation d’un expert sans donner des motifs valables, tels que des doutes sur son indépendance ou sa compétence. En effet, cela reviendrait à accorder à une partie un droit de veto sur le choix d'un expert (ATAS/1029/2017).</w:t>
      </w:r>
    </w:p>
    <w:p>
      <w:r>
        <w:rPr>
          <w:b/>
        </w:rPr>
        <w:t>E. 5</w:t>
      </w:r>
    </w:p>
    <w:p>
      <w:r>
        <w:t>En l’occurrence, l’intimé cite à l’appui de son argumentation la jurisprudence de notre Haute Cour rendue concernant la valeur probante d’expertises émanant notamment de médecins des assureurs. Il est vrai que, dans ce cadre, le Tribunal fédéral a jugé qu’il fallait des circonstances particulières pour faire apparaître une expertise rendue par un médecin de l’assurance comme manquant d’objectivité et d’impartialité (cf. notamment ATF 125 V 353 s. consid. 3b/ee).</w:t>
      </w:r>
    </w:p>
    <w:p>
      <w:r>
        <w:t>A/4940/2017 - 5/7 - Toutefois, la jurisprudence citée par l’intimé n'est pas pertinente, dès lors qu’elle n’a pas trait aux droits de participation des parties lors de la mise en œuvre d’une expertise administrative. Or, selon la jurisprudence en la matière citée ci-dessus, l’assureur doit essayer de parvenir à un accord avec l’assuré sur le choix de l’expert, ce que l’intimé n’a essayé à aucun moment. Il sied également de constater que la recourante fait valoir des griefs à l'encontre de l'expert qui touchent à son indépendance et sa compétence. Partant, les droits de participation de la recourante pour la désignation de l'expert ont été violés, si bien qu'il y a lieu d'annuler la décision sur ce point et de renvoyer la cause à l’intimé, afin qu’il se mette d’accord avec la recourante sur l’expert psychiatre à nommer, notamment se prononce sur les médecins qu'elle a proposées à ce titre.</w:t>
      </w:r>
    </w:p>
    <w:p>
      <w:r>
        <w:rPr>
          <w:b/>
        </w:rPr>
        <w:t>E. 6</w:t>
      </w:r>
    </w:p>
    <w:p>
      <w:r>
        <w:t>En ce qui concerne le droit des parties de se prononcer sur les questions à soumettre à l’expert, la jurisprudence du Tribunal fédéral en matière de droits constitutionnels a déduit du droit d’être entendu le droit d’obtenir une décision motivée à ce sujet. L’autorité doit donc prendre position sur les questions décisives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2011, p. 521 n. 1573). Cela implique que l’assureur doit également tenir compte des remarques des parties et ne peut écarter leurs conclusions sans motif valable. Dans la mesure où la mission de l'expert doit faire l'objet d'une décision incidente en cas de désaccord, elle peut ensuite être contrôlée par l’instance de recours. Il est relevé à cet égard que lorsque la participation de la personne concernée aboutit à des questions adéquates dans le cas concret, cela contribue de façon notable à la qualité de l'expertise (ATF 137 V 210 consid. 3.4.2.9 p. 258).</w:t>
      </w:r>
    </w:p>
    <w:p>
      <w:r>
        <w:rPr>
          <w:b/>
        </w:rPr>
        <w:t>E. 7</w:t>
      </w:r>
    </w:p>
    <w:p>
      <w:r>
        <w:t>En l’espèce, la recourante demande que la mission de l’expert porte également sur les questions spécifiques relatives aux indicateurs mentionnés dans l’ATF 141 V 281. Quant à l’intimé, il fait valoir que le questionnaire d’expertise comporte déjà l’intégralité des indicateurs auxquels l’expert doit répondre, en vertu de cette jurisprudence. Au vu du questionnaire annexé à la communication du 5 octobre 2017 de l'intimé, il y a lieu de constater que la mission de l'expert comporte déjà toutes les questions portant sur les indicateurs élaborés par le Tribunal fédéral pour juger du caractère invalidant d’un trouble somatoforme douloureux. En effet, les questions ont trait à l’importance de l’atteinte à la santé, au contexte social, aux diagnostics, aux traitements et à la réadaptation, à la cohérence et à la capacité de travail. Deux questions complémentaires sont par ailleurs posées à l’expert portant sur</w:t>
      </w:r>
    </w:p>
    <w:p>
      <w:r>
        <w:t>A/4940/2017 - 6/7 - l'aggravation de l’état de santé sur le plan psychiatrique et l’analyse du trouble somatoforme douloureux à la lumière des indicateurs de notre Haute Cour. Cela étant, la chambre de céans ne peut que constater que la mission de l’expert est complète. Au demeurant, la recourante ne précise pas quels indicateurs n’auraient pas été mentionnés. Cela étant, il n’y a pas lieu de compléter la mission d’expertise.</w:t>
      </w:r>
    </w:p>
    <w:p>
      <w:r>
        <w:rPr>
          <w:b/>
        </w:rPr>
        <w:t>E. 8</w:t>
      </w:r>
    </w:p>
    <w:p>
      <w:r>
        <w:t>Au vu de ce qui précède, le recours sera partiellement admis et la décision du 15 novembre 2017 annulée, en ce qu’elle désigne le Dr B_____ en tant qu’expert psychiatre. La cause sera par ailleurs renvoyée à l’intimé afin qu’elle trouve un accord avec la recourante concernant le mandat d’expertise.</w:t>
      </w:r>
    </w:p>
    <w:p>
      <w:r>
        <w:rPr>
          <w:b/>
        </w:rPr>
        <w:t>E. 9</w:t>
      </w:r>
    </w:p>
    <w:p>
      <w:r>
        <w:t>Dès lors que l’intimé succombe en partie, il sera condamné à verser à la recourante une indemnité de CHF 1'000.- à titre de dépens.</w:t>
      </w:r>
    </w:p>
    <w:p>
      <w:r>
        <w:t>***</w:t>
      </w:r>
    </w:p>
    <w:p>
      <w:r>
        <w:t>A/4940/2017 - 7/7 -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