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ATAS/119/2017 vom 20. Februar 2017</w:t>
      </w:r>
    </w:p>
    <w:p>
      <w:r>
        <w:t>GE Cour de justice, 2017-02-20, FR</w:t>
      </w:r>
    </w:p>
    <w:p>
      <w:r>
        <w:rPr>
          <w:b/>
        </w:rPr>
        <w:t xml:space="preserve">Quelle: </w:t>
      </w:r>
      <w:r>
        <w:t>https://mcp.opencaselaw.ch/entscheid/ge_gerichte_ATAS_119_2017</w:t>
      </w:r>
    </w:p>
    <w:p>
      <w:r>
        <w:t>FR: GE_GERICHTE ATAS/119/2017 du 20 février 2017</w:t>
      </w:r>
    </w:p>
    <w:p>
      <w:r>
        <w:t>IT: GE_GERICHTE ATAS/119/2017 del 20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A/1966/2015 - 10/20 -</w:t>
      </w:r>
    </w:p>
    <w:p>
      <w:r>
        <w:rPr>
          <w:b/>
        </w:rPr>
        <w:t>E. 2</w:t>
      </w:r>
    </w:p>
    <w:p>
      <w:r>
        <w:t>À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 et ss LPGA.</w:t>
      </w:r>
    </w:p>
    <w:p>
      <w:r>
        <w:rPr>
          <w:b/>
        </w:rPr>
        <w:t>E. 4</w:t>
      </w:r>
    </w:p>
    <w:p>
      <w:r>
        <w:t>Le litige porte sur droit de l'assuré aux prestations de l'AI et en particulier sur son droit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8</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w:t>
      </w:r>
    </w:p>
    <w:p>
      <w:r>
        <w:t>A/1966/2015 - 11/20 -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12</w:t>
      </w:r>
    </w:p>
    <w:p>
      <w:r>
        <w:t>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w:t>
      </w:r>
    </w:p>
    <w:p>
      <w:r>
        <w:t>A/1966/2015 - 12/20 -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w:t>
      </w:r>
    </w:p>
    <w:p>
      <w:r>
        <w:t>A/1966/2015 - 13/20 - 24 octobre 2003 consid. 4.3 et les références, in Plädoyer 2004/3 p. 64; arrêt du Tribunal fédéral 9C_512/2013 du 16 janvier 2014 consid. 5.2.1).</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16</w:t>
      </w:r>
    </w:p>
    <w:p>
      <w:r>
        <w:t>La comparaison des revenus s'effectue, en règle ordinaire, en chiffrant aussi exactement que possible les montants de ces deux revenus et en les confrontant l'un</w:t>
      </w:r>
    </w:p>
    <w:p>
      <w:r>
        <w:t>A/1966/2015 - 14/20 - avec l'autre, la différence permettant de calculer le taux d'invalidité (méthode générale de comparaison des revenus; ATF 128 V 29 consid. 1; ATF 104 V 135 consid. 2a et 2b).</w:t>
      </w:r>
    </w:p>
    <w:p>
      <w:r>
        <w:rPr>
          <w:b/>
        </w:rPr>
        <w:t>E. 17</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18</w:t>
      </w:r>
    </w:p>
    <w:p>
      <w:r>
        <w:t>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19</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w:t>
      </w:r>
    </w:p>
    <w:p>
      <w:r>
        <w:t>A/1966/2015 - 15/20 -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rPr>
          <w:b/>
        </w:rPr>
        <w:t>E. 20</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21</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w:t>
      </w:r>
    </w:p>
    <w:p>
      <w:r>
        <w:t>A/1966/2015 - 16/20 - 1991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op. cit, consid. 4.2 et 9C_602/2015, op. cit., consid. 6.1).</w:t>
      </w:r>
    </w:p>
    <w:p>
      <w:r>
        <w:rPr>
          <w:b/>
        </w:rPr>
        <w:t>E. 22</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23</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w:t>
      </w:r>
    </w:p>
    <w:p>
      <w:r>
        <w:rPr>
          <w:b/>
        </w:rPr>
        <w:t>E. 24</w:t>
      </w:r>
    </w:p>
    <w:p>
      <w:r>
        <w:t>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Dans un arrêt 9C_366/2014 du 19 novembre 2014 consid. 5.3, le Tribunal fédéral a considéré que même si l'administration avait déjà recueilli différentes pièces médicales pendant l'instruction, il subsistait des doutes quant à l'impact sur la capacité de travail de l'intéressé et que c'était l'expertise qui avait permis de constater de manière fiable les faits déterminants quant à la capacité résiduelle de travail et l'exigibilité de l'exercice d'une activité adaptée. C'était donc à la date du dépôt du rapport d'expertise qu'il fallait examiner si on pouvait exiger de l'assuré qu'il mît en valeur sa capacité résiduelle de travail dans une activité adaptée.</w:t>
      </w:r>
    </w:p>
    <w:p>
      <w:r>
        <w:t>A/1966/2015 - 17/20 -</w:t>
      </w:r>
    </w:p>
    <w:p>
      <w:r>
        <w:rPr>
          <w:b/>
        </w:rPr>
        <w:t>E. 25</w:t>
      </w:r>
    </w:p>
    <w:p>
      <w:r>
        <w:t>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26</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w:t>
      </w:r>
    </w:p>
    <w:p>
      <w:r>
        <w:rPr>
          <w:b/>
        </w:rPr>
        <w:t>E. 27</w:t>
      </w:r>
    </w:p>
    <w:p>
      <w:r>
        <w:t>En l'espèce, le rapport du Dr E_______ se fonde sur des examens complets et prend également en considération les plaintes exprimées par l'assuré. Il a été établi en pleine connaissance de l'anamnèse, la description du contexte médical et l'appréciation de la situation médicale sont claires et ses conclusions sont motivées. Dans la mesure où les auteurs du rapport des ÉPI du 13 novembre 2014 exprimaient des doutes quant à la pleine capacité de travail dans une activité adaptée et qu'il a été rendu postérieurement au rapport de l'expert, il convenait de le soumettre à ce dernier pour qu'il se détermine sur son contenu. Le Dr E_______ a confirmé que le recourant avait une pleine capacité de travail dans une activité adaptée à ses limitations, après avoir pris connaissance du rapport des ÉPI et reçu le recourant en consultation. Il a, dans un premier temps, refusé de répondre à la question du rendement, expliquant, lors de l'audience du</w:t>
      </w:r>
    </w:p>
    <w:p>
      <w:r>
        <w:rPr>
          <w:b/>
        </w:rPr>
        <w:t>E. 31</w:t>
      </w:r>
    </w:p>
    <w:p>
      <w:r>
        <w:t>Le recourant obtenant gain de cause, une indemnité de CHF 1'500.- lui sera accordée à titre de participation à ses frais et dépens (art. 61 let. g LPGA; art. 6 du règlement sur les frais, émoluments et indemnités en matière administrative du 30 juillet 1986 [RFPA - E 5 10.03]).</w:t>
      </w:r>
    </w:p>
    <w:p>
      <w:r>
        <w:rPr>
          <w:b/>
        </w:rPr>
        <w:t>E. 32</w:t>
      </w:r>
    </w:p>
    <w:p>
      <w:r>
        <w:t>Un émolument de CHF 200.- sera mis à la charge de l'intimé (art. 69 al. 1bis LAI).</w:t>
      </w:r>
    </w:p>
    <w:p>
      <w:r>
        <w:t>A/1966/2015 - 20/20 -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